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3C16A0" w14:textId="77777777" w:rsidR="007650DF" w:rsidRDefault="00626D0C">
      <w:r>
        <w:rPr>
          <w:noProof/>
        </w:rPr>
        <w:drawing>
          <wp:inline distT="0" distB="0" distL="0" distR="0" wp14:anchorId="11EF458C" wp14:editId="234BB79F">
            <wp:extent cx="2032000" cy="1005205"/>
            <wp:effectExtent l="0" t="0" r="0" b="0"/>
            <wp:docPr id="1" name="Grafik 2" descr="D:\Hartwig\Desktop\EuroFAANG\Homepage\EuroFAANG RI Logo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2" descr="D:\Hartwig\Desktop\EuroFAANG\Homepage\EuroFAANG RI Logo_v1.png"/>
                    <pic:cNvPicPr>
                      <a:picLocks noChangeAspect="1" noChangeArrowheads="1"/>
                    </pic:cNvPicPr>
                  </pic:nvPicPr>
                  <pic:blipFill>
                    <a:blip r:embed="rId8"/>
                    <a:srcRect t="24269" b="26272"/>
                    <a:stretch>
                      <a:fillRect/>
                    </a:stretch>
                  </pic:blipFill>
                  <pic:spPr bwMode="auto">
                    <a:xfrm>
                      <a:off x="0" y="0"/>
                      <a:ext cx="2032000" cy="1005205"/>
                    </a:xfrm>
                    <a:prstGeom prst="rect">
                      <a:avLst/>
                    </a:prstGeom>
                  </pic:spPr>
                </pic:pic>
              </a:graphicData>
            </a:graphic>
          </wp:inline>
        </w:drawing>
      </w:r>
      <w:r>
        <w:rPr>
          <w:noProof/>
        </w:rPr>
        <w:drawing>
          <wp:anchor distT="0" distB="0" distL="114300" distR="0" simplePos="0" relativeHeight="5" behindDoc="0" locked="0" layoutInCell="0" allowOverlap="1" wp14:anchorId="2AD0053C" wp14:editId="0965AAAA">
            <wp:simplePos x="0" y="0"/>
            <wp:positionH relativeFrom="margin">
              <wp:align>right</wp:align>
            </wp:positionH>
            <wp:positionV relativeFrom="paragraph">
              <wp:posOffset>1905</wp:posOffset>
            </wp:positionV>
            <wp:extent cx="1588770" cy="1059180"/>
            <wp:effectExtent l="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9"/>
                    <a:stretch>
                      <a:fillRect/>
                    </a:stretch>
                  </pic:blipFill>
                  <pic:spPr bwMode="auto">
                    <a:xfrm>
                      <a:off x="0" y="0"/>
                      <a:ext cx="1588770" cy="1059180"/>
                    </a:xfrm>
                    <a:prstGeom prst="rect">
                      <a:avLst/>
                    </a:prstGeom>
                  </pic:spPr>
                </pic:pic>
              </a:graphicData>
            </a:graphic>
          </wp:anchor>
        </w:drawing>
      </w:r>
      <w:bookmarkStart w:id="0" w:name="_Hlk525204145"/>
      <w:bookmarkEnd w:id="0"/>
    </w:p>
    <w:p w14:paraId="513CD902" w14:textId="77777777" w:rsidR="007650DF" w:rsidRDefault="007650DF">
      <w:pPr>
        <w:jc w:val="center"/>
        <w:rPr>
          <w:rFonts w:asciiTheme="majorHAnsi" w:eastAsia="Century Gothic" w:hAnsiTheme="majorHAnsi" w:cstheme="majorHAnsi"/>
          <w:b/>
          <w:color w:val="000000" w:themeColor="text1"/>
          <w:sz w:val="24"/>
          <w:szCs w:val="28"/>
        </w:rPr>
      </w:pPr>
    </w:p>
    <w:p w14:paraId="265DF63F" w14:textId="77777777" w:rsidR="007650DF" w:rsidRDefault="007650DF">
      <w:pPr>
        <w:jc w:val="center"/>
        <w:rPr>
          <w:rFonts w:asciiTheme="majorHAnsi" w:eastAsia="Century Gothic" w:hAnsiTheme="majorHAnsi" w:cstheme="majorHAnsi"/>
          <w:b/>
          <w:color w:val="000000" w:themeColor="text1"/>
          <w:sz w:val="24"/>
          <w:szCs w:val="28"/>
        </w:rPr>
      </w:pPr>
    </w:p>
    <w:p w14:paraId="7DBCA487" w14:textId="77777777" w:rsidR="007650DF" w:rsidRDefault="007650DF">
      <w:pPr>
        <w:jc w:val="center"/>
        <w:rPr>
          <w:rFonts w:asciiTheme="majorHAnsi" w:eastAsia="Century Gothic" w:hAnsiTheme="majorHAnsi" w:cstheme="majorHAnsi"/>
          <w:b/>
          <w:color w:val="000000" w:themeColor="text1"/>
          <w:sz w:val="24"/>
          <w:szCs w:val="28"/>
        </w:rPr>
      </w:pPr>
    </w:p>
    <w:p w14:paraId="4900C07C" w14:textId="77777777" w:rsidR="007650DF" w:rsidRDefault="00626D0C">
      <w:pPr>
        <w:jc w:val="center"/>
        <w:rPr>
          <w:rFonts w:asciiTheme="minorHAnsi" w:eastAsia="Century Gothic" w:hAnsiTheme="minorHAnsi" w:cstheme="minorHAnsi"/>
          <w:b/>
          <w:color w:val="000000" w:themeColor="text1"/>
          <w:sz w:val="36"/>
          <w:szCs w:val="36"/>
          <w:lang w:val="en-US"/>
        </w:rPr>
      </w:pPr>
      <w:r>
        <w:rPr>
          <w:rFonts w:asciiTheme="minorHAnsi" w:eastAsia="Century Gothic" w:hAnsiTheme="minorHAnsi" w:cstheme="minorHAnsi"/>
          <w:b/>
          <w:color w:val="000000" w:themeColor="text1"/>
          <w:sz w:val="36"/>
          <w:szCs w:val="36"/>
          <w:lang w:val="en-US"/>
        </w:rPr>
        <w:t xml:space="preserve">A European infrastructure </w:t>
      </w:r>
    </w:p>
    <w:p w14:paraId="3CE52F30" w14:textId="77777777" w:rsidR="007650DF" w:rsidRDefault="00626D0C">
      <w:pPr>
        <w:jc w:val="center"/>
        <w:rPr>
          <w:rFonts w:asciiTheme="minorHAnsi" w:eastAsia="Century Gothic" w:hAnsiTheme="minorHAnsi" w:cstheme="minorHAnsi"/>
          <w:b/>
          <w:color w:val="000000" w:themeColor="text1"/>
          <w:sz w:val="36"/>
          <w:szCs w:val="36"/>
          <w:lang w:val="en-US"/>
        </w:rPr>
      </w:pPr>
      <w:r>
        <w:rPr>
          <w:rFonts w:asciiTheme="minorHAnsi" w:eastAsia="Century Gothic" w:hAnsiTheme="minorHAnsi" w:cstheme="minorHAnsi"/>
          <w:b/>
          <w:color w:val="000000" w:themeColor="text1"/>
          <w:sz w:val="36"/>
          <w:szCs w:val="36"/>
          <w:lang w:val="en-US"/>
        </w:rPr>
        <w:t>for farmed animal genotype to phenotype research</w:t>
      </w:r>
    </w:p>
    <w:p w14:paraId="3F500B9F" w14:textId="77777777" w:rsidR="007650DF" w:rsidRDefault="007650DF">
      <w:pPr>
        <w:jc w:val="center"/>
        <w:rPr>
          <w:rFonts w:asciiTheme="majorHAnsi" w:eastAsia="Century Gothic" w:hAnsiTheme="majorHAnsi" w:cstheme="majorHAnsi"/>
          <w:b/>
          <w:color w:val="000000" w:themeColor="text1"/>
          <w:sz w:val="24"/>
          <w:szCs w:val="28"/>
          <w:lang w:val="en-US"/>
        </w:rPr>
      </w:pPr>
    </w:p>
    <w:p w14:paraId="7CDA9BAA" w14:textId="77777777" w:rsidR="007650DF" w:rsidRDefault="00626D0C">
      <w:pPr>
        <w:jc w:val="center"/>
        <w:rPr>
          <w:rFonts w:ascii="Calibri" w:eastAsia="Century Gothic" w:hAnsi="Calibri" w:cs="Calibri"/>
          <w:b/>
          <w:bCs/>
          <w:color w:val="000000" w:themeColor="text1"/>
          <w:sz w:val="36"/>
          <w:szCs w:val="36"/>
          <w:lang w:val="en-US"/>
        </w:rPr>
      </w:pPr>
      <w:r>
        <w:rPr>
          <w:rFonts w:ascii="Calibri" w:eastAsia="Century Gothic" w:hAnsi="Calibri" w:cs="Calibri"/>
          <w:b/>
          <w:bCs/>
          <w:color w:val="000000" w:themeColor="text1"/>
          <w:sz w:val="36"/>
          <w:szCs w:val="36"/>
          <w:lang w:val="en-US"/>
        </w:rPr>
        <w:t>Deliverable 6.1:</w:t>
      </w:r>
    </w:p>
    <w:p w14:paraId="6992BED8" w14:textId="77777777" w:rsidR="007650DF" w:rsidRDefault="00626D0C">
      <w:pPr>
        <w:jc w:val="center"/>
        <w:rPr>
          <w:rFonts w:ascii="Calibri" w:eastAsia="Century Gothic" w:hAnsi="Calibri" w:cs="Calibri"/>
          <w:b/>
          <w:color w:val="000000" w:themeColor="text1"/>
          <w:sz w:val="36"/>
          <w:szCs w:val="36"/>
          <w:lang w:val="en-GB" w:eastAsia="en-GB"/>
        </w:rPr>
      </w:pPr>
      <w:r>
        <w:rPr>
          <w:rFonts w:ascii="Calibri" w:eastAsia="Century Gothic" w:hAnsi="Calibri" w:cs="Calibri"/>
          <w:b/>
          <w:color w:val="000000" w:themeColor="text1"/>
          <w:sz w:val="36"/>
          <w:szCs w:val="36"/>
          <w:lang w:val="en-GB" w:eastAsia="en-GB"/>
        </w:rPr>
        <w:t>Inventory of upcoming technologies and required inter- and transdisciplinary networks bridging the gap between genome/cellular/organoid and organism level information with respect to key challenges as outlined in the Green Deal and Farm to Fork strategy</w:t>
      </w:r>
    </w:p>
    <w:p w14:paraId="3DB04880" w14:textId="77777777" w:rsidR="007650DF" w:rsidRDefault="00626D0C">
      <w:pPr>
        <w:jc w:val="center"/>
        <w:rPr>
          <w:rFonts w:asciiTheme="minorHAnsi" w:eastAsia="Century Gothic" w:hAnsiTheme="minorHAnsi" w:cstheme="minorHAnsi"/>
          <w:b/>
          <w:color w:val="000000" w:themeColor="text1"/>
          <w:sz w:val="24"/>
          <w:szCs w:val="24"/>
          <w:lang w:val="en-US"/>
        </w:rPr>
      </w:pPr>
      <w:r>
        <w:rPr>
          <w:rFonts w:asciiTheme="minorHAnsi" w:eastAsia="Century Gothic" w:hAnsiTheme="minorHAnsi" w:cstheme="minorHAnsi"/>
          <w:b/>
          <w:color w:val="000000" w:themeColor="text1"/>
          <w:sz w:val="24"/>
          <w:szCs w:val="24"/>
          <w:lang w:val="en-US"/>
        </w:rPr>
        <w:t>Grant agreement no°: 101094718</w:t>
      </w:r>
    </w:p>
    <w:p w14:paraId="2EDA1CC9" w14:textId="77777777" w:rsidR="007650DF" w:rsidRDefault="00626D0C">
      <w:pPr>
        <w:jc w:val="center"/>
        <w:rPr>
          <w:rFonts w:asciiTheme="minorHAnsi" w:eastAsia="Century Gothic" w:hAnsiTheme="minorHAnsi" w:cstheme="minorHAnsi"/>
          <w:color w:val="000000" w:themeColor="text1"/>
          <w:sz w:val="24"/>
          <w:szCs w:val="24"/>
          <w:lang w:val="en-US"/>
        </w:rPr>
      </w:pPr>
      <w:r>
        <w:rPr>
          <w:rFonts w:asciiTheme="minorHAnsi" w:eastAsia="Century Gothic" w:hAnsiTheme="minorHAnsi" w:cstheme="minorHAnsi"/>
          <w:color w:val="000000" w:themeColor="text1"/>
          <w:sz w:val="24"/>
          <w:szCs w:val="24"/>
          <w:lang w:val="en-US"/>
        </w:rPr>
        <w:t>Due submission date</w:t>
      </w:r>
    </w:p>
    <w:p w14:paraId="008F0D09" w14:textId="77777777" w:rsidR="007650DF" w:rsidRDefault="00626D0C">
      <w:pPr>
        <w:jc w:val="center"/>
        <w:rPr>
          <w:rFonts w:asciiTheme="minorHAnsi" w:eastAsia="Century Gothic" w:hAnsiTheme="minorHAnsi" w:cstheme="minorHAnsi"/>
          <w:b/>
          <w:color w:val="FF0000"/>
          <w:sz w:val="24"/>
          <w:szCs w:val="24"/>
          <w:lang w:val="en-US"/>
        </w:rPr>
      </w:pPr>
      <w:r>
        <w:rPr>
          <w:rFonts w:asciiTheme="minorHAnsi" w:eastAsia="Century Gothic" w:hAnsiTheme="minorHAnsi" w:cstheme="minorHAnsi"/>
          <w:b/>
          <w:color w:val="FF0000"/>
          <w:sz w:val="24"/>
          <w:szCs w:val="24"/>
          <w:lang w:val="en-US"/>
        </w:rPr>
        <w:t>2025-April-30</w:t>
      </w:r>
    </w:p>
    <w:p w14:paraId="0AF3C6B9" w14:textId="77777777" w:rsidR="007650DF" w:rsidRDefault="00626D0C">
      <w:pPr>
        <w:jc w:val="center"/>
        <w:rPr>
          <w:rFonts w:asciiTheme="minorHAnsi" w:eastAsia="Century Gothic" w:hAnsiTheme="minorHAnsi" w:cstheme="minorHAnsi"/>
          <w:color w:val="000000" w:themeColor="text1"/>
          <w:sz w:val="24"/>
          <w:szCs w:val="24"/>
          <w:lang w:val="en-US"/>
        </w:rPr>
      </w:pPr>
      <w:r>
        <w:rPr>
          <w:rFonts w:asciiTheme="minorHAnsi" w:eastAsia="Century Gothic" w:hAnsiTheme="minorHAnsi" w:cstheme="minorHAnsi"/>
          <w:color w:val="000000" w:themeColor="text1"/>
          <w:sz w:val="24"/>
          <w:szCs w:val="24"/>
          <w:lang w:val="en-US"/>
        </w:rPr>
        <w:t>Actual submission date</w:t>
      </w:r>
    </w:p>
    <w:p w14:paraId="451B6061" w14:textId="77777777" w:rsidR="007650DF" w:rsidRDefault="00626D0C">
      <w:pPr>
        <w:jc w:val="center"/>
        <w:rPr>
          <w:rFonts w:asciiTheme="minorHAnsi" w:eastAsia="Century Gothic" w:hAnsiTheme="minorHAnsi" w:cstheme="minorHAnsi"/>
          <w:b/>
          <w:color w:val="FF0000"/>
          <w:sz w:val="24"/>
          <w:szCs w:val="24"/>
          <w:lang w:val="en-US"/>
        </w:rPr>
      </w:pPr>
      <w:r>
        <w:rPr>
          <w:rFonts w:asciiTheme="minorHAnsi" w:eastAsia="Century Gothic" w:hAnsiTheme="minorHAnsi" w:cstheme="minorHAnsi"/>
          <w:b/>
          <w:color w:val="FF0000"/>
          <w:sz w:val="24"/>
          <w:szCs w:val="24"/>
          <w:lang w:val="en-US"/>
        </w:rPr>
        <w:t>2025-April-29</w:t>
      </w:r>
    </w:p>
    <w:p w14:paraId="464D3EEB" w14:textId="77777777" w:rsidR="007650DF" w:rsidRDefault="007650DF">
      <w:pPr>
        <w:jc w:val="center"/>
        <w:rPr>
          <w:rFonts w:asciiTheme="minorHAnsi" w:eastAsia="Century Gothic" w:hAnsiTheme="minorHAnsi" w:cstheme="minorHAnsi"/>
          <w:b/>
          <w:color w:val="000000" w:themeColor="text1"/>
          <w:sz w:val="24"/>
          <w:szCs w:val="24"/>
          <w:lang w:val="en-US"/>
        </w:rPr>
      </w:pPr>
    </w:p>
    <w:p w14:paraId="1C739F15" w14:textId="77777777" w:rsidR="007650DF" w:rsidRDefault="00626D0C">
      <w:pPr>
        <w:jc w:val="center"/>
        <w:rPr>
          <w:rFonts w:asciiTheme="minorHAnsi" w:eastAsia="Century Gothic" w:hAnsiTheme="minorHAnsi" w:cstheme="minorHAnsi"/>
          <w:color w:val="000000" w:themeColor="text1"/>
          <w:sz w:val="24"/>
          <w:szCs w:val="24"/>
          <w:lang w:val="en-US"/>
        </w:rPr>
      </w:pPr>
      <w:r>
        <w:rPr>
          <w:rFonts w:asciiTheme="minorHAnsi" w:eastAsia="Century Gothic" w:hAnsiTheme="minorHAnsi" w:cstheme="minorHAnsi"/>
          <w:color w:val="000000" w:themeColor="text1"/>
          <w:sz w:val="24"/>
          <w:szCs w:val="24"/>
          <w:lang w:val="en-US"/>
        </w:rPr>
        <w:t xml:space="preserve">Responsible author(s): </w:t>
      </w:r>
    </w:p>
    <w:p w14:paraId="1AAA96B6" w14:textId="3BB659A0" w:rsidR="007650DF" w:rsidRDefault="00626D0C">
      <w:pPr>
        <w:jc w:val="center"/>
        <w:rPr>
          <w:rFonts w:asciiTheme="minorHAnsi" w:hAnsiTheme="minorHAnsi" w:cstheme="minorHAnsi"/>
          <w:b/>
          <w:color w:val="000000" w:themeColor="text1"/>
          <w:sz w:val="24"/>
          <w:szCs w:val="24"/>
          <w:lang w:val="en-US"/>
        </w:rPr>
      </w:pPr>
      <w:r>
        <w:rPr>
          <w:rFonts w:asciiTheme="minorHAnsi" w:hAnsiTheme="minorHAnsi" w:cstheme="minorHAnsi"/>
          <w:b/>
          <w:color w:val="000000" w:themeColor="text1"/>
          <w:sz w:val="24"/>
          <w:szCs w:val="24"/>
          <w:lang w:val="en-US"/>
        </w:rPr>
        <w:t>Eduard Murani</w:t>
      </w:r>
      <w:r w:rsidR="00657CDD">
        <w:rPr>
          <w:rFonts w:asciiTheme="minorHAnsi" w:hAnsiTheme="minorHAnsi" w:cstheme="minorHAnsi"/>
          <w:b/>
          <w:color w:val="000000" w:themeColor="text1"/>
          <w:sz w:val="24"/>
          <w:szCs w:val="24"/>
          <w:lang w:val="en-US"/>
        </w:rPr>
        <w:t xml:space="preserve"> (FBN)</w:t>
      </w:r>
    </w:p>
    <w:p w14:paraId="1D6492CB" w14:textId="57E6371C" w:rsidR="007650DF" w:rsidRPr="00D87785" w:rsidRDefault="00657CDD">
      <w:pPr>
        <w:jc w:val="center"/>
        <w:rPr>
          <w:rFonts w:asciiTheme="minorHAnsi" w:hAnsiTheme="minorHAnsi" w:cstheme="minorHAnsi"/>
          <w:b/>
          <w:sz w:val="24"/>
          <w:szCs w:val="24"/>
          <w:lang w:val="en-US"/>
        </w:rPr>
      </w:pPr>
      <w:r w:rsidRPr="00D87785">
        <w:rPr>
          <w:rFonts w:asciiTheme="minorHAnsi" w:hAnsiTheme="minorHAnsi" w:cstheme="minorHAnsi"/>
          <w:b/>
          <w:sz w:val="24"/>
          <w:szCs w:val="24"/>
          <w:lang w:val="en-US"/>
        </w:rPr>
        <w:t>Elisabetta Giuffra (INRAE)</w:t>
      </w:r>
    </w:p>
    <w:p w14:paraId="366044F2" w14:textId="77777777" w:rsidR="007650DF" w:rsidRDefault="007650DF">
      <w:pPr>
        <w:jc w:val="center"/>
        <w:rPr>
          <w:rFonts w:asciiTheme="minorHAnsi" w:hAnsiTheme="minorHAnsi" w:cstheme="minorHAnsi"/>
          <w:b/>
          <w:color w:val="000000" w:themeColor="text1"/>
          <w:sz w:val="24"/>
          <w:szCs w:val="24"/>
          <w:lang w:val="en-US"/>
        </w:rPr>
      </w:pPr>
    </w:p>
    <w:p w14:paraId="2641D188" w14:textId="77777777" w:rsidR="007650DF" w:rsidRDefault="007650DF">
      <w:pPr>
        <w:jc w:val="center"/>
        <w:rPr>
          <w:rFonts w:asciiTheme="minorHAnsi" w:hAnsiTheme="minorHAnsi" w:cstheme="minorHAnsi"/>
          <w:b/>
          <w:color w:val="000000" w:themeColor="text1"/>
          <w:sz w:val="24"/>
          <w:szCs w:val="24"/>
          <w:lang w:val="en-US"/>
        </w:rPr>
      </w:pPr>
    </w:p>
    <w:p w14:paraId="46100B2C" w14:textId="77777777" w:rsidR="007650DF" w:rsidRDefault="007650DF">
      <w:pPr>
        <w:jc w:val="center"/>
        <w:rPr>
          <w:rFonts w:asciiTheme="minorHAnsi" w:hAnsiTheme="minorHAnsi" w:cstheme="minorHAnsi"/>
          <w:b/>
          <w:color w:val="000000" w:themeColor="text1"/>
          <w:sz w:val="24"/>
          <w:szCs w:val="24"/>
          <w:lang w:val="en-US"/>
        </w:rPr>
      </w:pPr>
    </w:p>
    <w:p w14:paraId="70897CBC" w14:textId="35DD0A15" w:rsidR="007650DF" w:rsidRDefault="00626D0C">
      <w:pPr>
        <w:jc w:val="center"/>
        <w:rPr>
          <w:rFonts w:asciiTheme="minorHAnsi" w:hAnsiTheme="minorHAnsi" w:cstheme="minorHAnsi"/>
          <w:b/>
          <w:color w:val="000000" w:themeColor="text1"/>
          <w:sz w:val="24"/>
          <w:szCs w:val="24"/>
          <w:lang w:val="en-US"/>
        </w:rPr>
      </w:pPr>
      <w:r>
        <w:rPr>
          <w:rFonts w:asciiTheme="minorHAnsi" w:hAnsiTheme="minorHAnsi" w:cstheme="minorHAnsi"/>
          <w:b/>
          <w:color w:val="000000" w:themeColor="text1"/>
          <w:sz w:val="24"/>
          <w:szCs w:val="24"/>
          <w:lang w:val="en-US"/>
        </w:rPr>
        <w:t xml:space="preserve">Confidential: </w:t>
      </w:r>
      <w:r>
        <w:rPr>
          <w:rFonts w:asciiTheme="minorHAnsi" w:hAnsiTheme="minorHAnsi" w:cstheme="minorHAnsi"/>
          <w:b/>
          <w:color w:val="FF0000"/>
          <w:sz w:val="24"/>
          <w:szCs w:val="24"/>
          <w:lang w:val="en-US"/>
        </w:rPr>
        <w:t xml:space="preserve"> </w:t>
      </w:r>
      <w:r w:rsidR="00BE5728">
        <w:rPr>
          <w:rFonts w:asciiTheme="minorHAnsi" w:hAnsiTheme="minorHAnsi" w:cstheme="minorHAnsi"/>
          <w:b/>
          <w:color w:val="FF0000"/>
          <w:sz w:val="24"/>
          <w:szCs w:val="24"/>
          <w:lang w:val="en-US"/>
        </w:rPr>
        <w:t>No</w:t>
      </w:r>
    </w:p>
    <w:p w14:paraId="65832BC2" w14:textId="77777777" w:rsidR="007650DF" w:rsidRDefault="007650DF">
      <w:pPr>
        <w:jc w:val="center"/>
        <w:rPr>
          <w:rFonts w:asciiTheme="majorHAnsi" w:hAnsiTheme="majorHAnsi" w:cstheme="majorHAnsi"/>
          <w:b/>
          <w:color w:val="000000" w:themeColor="text1"/>
          <w:lang w:val="en-US"/>
        </w:rPr>
      </w:pPr>
    </w:p>
    <w:p w14:paraId="7432AE3B" w14:textId="77777777" w:rsidR="007650DF" w:rsidRDefault="007650DF">
      <w:pPr>
        <w:jc w:val="center"/>
        <w:rPr>
          <w:rFonts w:asciiTheme="majorHAnsi" w:hAnsiTheme="majorHAnsi" w:cstheme="majorHAnsi"/>
          <w:b/>
          <w:color w:val="000000" w:themeColor="text1"/>
          <w:lang w:val="en-US"/>
        </w:rPr>
      </w:pPr>
    </w:p>
    <w:p w14:paraId="5752F7D5" w14:textId="77777777" w:rsidR="007650DF" w:rsidRDefault="007650DF">
      <w:pPr>
        <w:jc w:val="center"/>
        <w:rPr>
          <w:rFonts w:asciiTheme="majorHAnsi" w:hAnsiTheme="majorHAnsi" w:cstheme="majorHAnsi"/>
          <w:b/>
          <w:color w:val="000000" w:themeColor="text1"/>
          <w:lang w:val="en-US"/>
        </w:rPr>
      </w:pPr>
    </w:p>
    <w:p w14:paraId="24FA7D86" w14:textId="77777777" w:rsidR="007650DF" w:rsidRDefault="007650DF">
      <w:pPr>
        <w:rPr>
          <w:rFonts w:asciiTheme="majorHAnsi" w:hAnsiTheme="majorHAnsi" w:cstheme="majorHAnsi"/>
          <w:b/>
          <w:color w:val="000000" w:themeColor="text1"/>
          <w:lang w:val="en-US"/>
        </w:rPr>
      </w:pPr>
    </w:p>
    <w:p w14:paraId="38AE3AAC" w14:textId="77777777" w:rsidR="007650DF" w:rsidRDefault="007650DF">
      <w:pPr>
        <w:jc w:val="center"/>
        <w:rPr>
          <w:rFonts w:asciiTheme="majorHAnsi" w:hAnsiTheme="majorHAnsi" w:cstheme="majorHAnsi"/>
          <w:b/>
          <w:color w:val="000000" w:themeColor="text1"/>
          <w:lang w:val="en-US"/>
        </w:rPr>
      </w:pPr>
    </w:p>
    <w:p w14:paraId="0F0DACC8" w14:textId="77777777" w:rsidR="007650DF" w:rsidRDefault="00626D0C">
      <w:pPr>
        <w:jc w:val="center"/>
        <w:rPr>
          <w:rFonts w:asciiTheme="majorHAnsi" w:hAnsiTheme="majorHAnsi" w:cstheme="majorHAnsi"/>
          <w:lang w:val="en-US"/>
        </w:rPr>
      </w:pPr>
      <w:r>
        <w:rPr>
          <w:rFonts w:ascii="Calibri Light" w:hAnsi="Calibri Light" w:cstheme="majorHAnsi"/>
          <w:noProof/>
        </w:rPr>
        <mc:AlternateContent>
          <mc:Choice Requires="wps">
            <w:drawing>
              <wp:anchor distT="0" distB="0" distL="0" distR="0" simplePos="0" relativeHeight="3" behindDoc="0" locked="0" layoutInCell="0" allowOverlap="1" wp14:anchorId="1C50E366" wp14:editId="663076E6">
                <wp:simplePos x="0" y="0"/>
                <wp:positionH relativeFrom="margin">
                  <wp:align>right</wp:align>
                </wp:positionH>
                <wp:positionV relativeFrom="paragraph">
                  <wp:posOffset>137160</wp:posOffset>
                </wp:positionV>
                <wp:extent cx="5966460" cy="594360"/>
                <wp:effectExtent l="0" t="0" r="0" b="0"/>
                <wp:wrapNone/>
                <wp:docPr id="3" name="Text Box 5"/>
                <wp:cNvGraphicFramePr/>
                <a:graphic xmlns:a="http://schemas.openxmlformats.org/drawingml/2006/main">
                  <a:graphicData uri="http://schemas.microsoft.com/office/word/2010/wordprocessingShape">
                    <wps:wsp>
                      <wps:cNvSpPr/>
                      <wps:spPr>
                        <a:xfrm>
                          <a:off x="0" y="0"/>
                          <a:ext cx="5966640" cy="594360"/>
                        </a:xfrm>
                        <a:prstGeom prst="rect">
                          <a:avLst/>
                        </a:prstGeom>
                        <a:solidFill>
                          <a:srgbClr val="FFFFFF"/>
                        </a:solidFill>
                        <a:ln w="6350">
                          <a:noFill/>
                        </a:ln>
                      </wps:spPr>
                      <wps:style>
                        <a:lnRef idx="0">
                          <a:scrgbClr r="0" g="0" b="0"/>
                        </a:lnRef>
                        <a:fillRef idx="0">
                          <a:scrgbClr r="0" g="0" b="0"/>
                        </a:fillRef>
                        <a:effectRef idx="0">
                          <a:scrgbClr r="0" g="0" b="0"/>
                        </a:effectRef>
                        <a:fontRef idx="minor"/>
                      </wps:style>
                      <wps:txbx>
                        <w:txbxContent>
                          <w:p w14:paraId="10DA415B" w14:textId="77777777" w:rsidR="001A30F5" w:rsidRDefault="001A30F5">
                            <w:pPr>
                              <w:pStyle w:val="Rahmeninhalt"/>
                              <w:jc w:val="both"/>
                              <w:rPr>
                                <w:rFonts w:ascii="Century Gothic" w:hAnsi="Century Gothic"/>
                                <w:color w:val="000000" w:themeColor="text1"/>
                                <w:sz w:val="18"/>
                                <w:szCs w:val="18"/>
                                <w:lang w:val="en-US"/>
                              </w:rPr>
                            </w:pPr>
                            <w:r>
                              <w:rPr>
                                <w:rFonts w:ascii="Century Gothic" w:hAnsi="Century Gothic"/>
                                <w:color w:val="000000" w:themeColor="text1"/>
                                <w:sz w:val="18"/>
                                <w:szCs w:val="18"/>
                                <w:shd w:val="clear" w:color="auto" w:fill="FFFFFF"/>
                                <w:lang w:val="en-US"/>
                              </w:rPr>
                              <w:t>This project has received funding from the European Union’s Horizon Europe research and innovation programme under grant agreement No 101094718. The content of this report reflects only the author’s view. The European Commission is not responsible for any use that may be made of the information it contains.</w:t>
                            </w:r>
                          </w:p>
                        </w:txbxContent>
                      </wps:txbx>
                      <wps:bodyPr anchor="t">
                        <a:prstTxWarp prst="textNoShape">
                          <a:avLst/>
                        </a:prstTxWarp>
                        <a:noAutofit/>
                      </wps:bodyPr>
                    </wps:wsp>
                  </a:graphicData>
                </a:graphic>
              </wp:anchor>
            </w:drawing>
          </mc:Choice>
          <mc:Fallback>
            <w:pict>
              <v:rect w14:anchorId="1C50E366" id="Text Box 5" o:spid="_x0000_s1026" style="position:absolute;left:0;text-align:left;margin-left:418.6pt;margin-top:10.8pt;width:469.8pt;height:46.8pt;z-index:3;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" o:allowincell="f" stroked="f" strokeweight=".5pt">
                <v:textbox>
                  <w:txbxContent>
                    <w:p w14:paraId="10DA415B" w14:textId="77777777" w:rsidR="001A30F5" w:rsidRDefault="001A30F5">
                      <w:pPr>
                        <w:pStyle w:val="Rahmeninhalt"/>
                        <w:jc w:val="both"/>
                        <w:rPr>
                          <w:rFonts w:ascii="Century Gothic" w:hAnsi="Century Gothic"/>
                          <w:color w:val="000000" w:themeColor="text1"/>
                          <w:sz w:val="18"/>
                          <w:szCs w:val="18"/>
                          <w:lang w:val="en-US"/>
                        </w:rPr>
                      </w:pPr>
                      <w:r>
                        <w:rPr>
                          <w:rFonts w:ascii="Century Gothic" w:hAnsi="Century Gothic"/>
                          <w:color w:val="000000" w:themeColor="text1"/>
                          <w:sz w:val="18"/>
                          <w:szCs w:val="18"/>
                          <w:shd w:val="clear" w:color="auto" w:fill="FFFFFF"/>
                          <w:lang w:val="en-US"/>
                        </w:rPr>
                        <w:t>This project has received funding from the European Union’s Horizon Europe research and innovation programme under grant agreement No 101094718. The content of this report reflects only the author’s view. The European Commission is not responsible for any use that may be made of the information it contains.</w:t>
                      </w:r>
                    </w:p>
                  </w:txbxContent>
                </v:textbox>
                <w10:wrap anchorx="margin"/>
              </v:rect>
            </w:pict>
          </mc:Fallback>
        </mc:AlternateContent>
      </w:r>
    </w:p>
    <w:p w14:paraId="1AAA3566" w14:textId="77777777" w:rsidR="007650DF" w:rsidRDefault="00626D0C">
      <w:pPr>
        <w:rPr>
          <w:rFonts w:asciiTheme="majorHAnsi" w:hAnsiTheme="majorHAnsi" w:cstheme="majorHAnsi"/>
          <w:lang w:val="en-US"/>
        </w:rPr>
      </w:pPr>
      <w:r w:rsidRPr="008C29E3">
        <w:rPr>
          <w:lang w:val="en-GB"/>
        </w:rPr>
        <w:br w:type="page"/>
      </w:r>
    </w:p>
    <w:p w14:paraId="0ECF3B23" w14:textId="77777777" w:rsidR="007650DF" w:rsidRDefault="00626D0C">
      <w:pPr>
        <w:rPr>
          <w:rFonts w:asciiTheme="majorHAnsi" w:hAnsiTheme="majorHAnsi" w:cstheme="majorHAnsi"/>
          <w:color w:val="000000" w:themeColor="text1"/>
          <w:lang w:val="en-GB"/>
        </w:rPr>
      </w:pPr>
      <w:r>
        <w:rPr>
          <w:rFonts w:asciiTheme="majorHAnsi" w:eastAsia="Century Gothic" w:hAnsiTheme="majorHAnsi" w:cstheme="majorHAnsi"/>
          <w:b/>
          <w:color w:val="000000" w:themeColor="text1"/>
          <w:lang w:val="en-GB"/>
        </w:rPr>
        <w:lastRenderedPageBreak/>
        <w:t>DOCUMENT CONTROL SHEET</w:t>
      </w:r>
    </w:p>
    <w:tbl>
      <w:tblPr>
        <w:tblW w:w="9016" w:type="dxa"/>
        <w:tblLayout w:type="fixed"/>
        <w:tblLook w:val="0400" w:firstRow="0" w:lastRow="0" w:firstColumn="0" w:lastColumn="0" w:noHBand="0" w:noVBand="1"/>
      </w:tblPr>
      <w:tblGrid>
        <w:gridCol w:w="3254"/>
        <w:gridCol w:w="5762"/>
      </w:tblGrid>
      <w:tr w:rsidR="007650DF" w:rsidRPr="00D87785" w14:paraId="35D9A8C5"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3F1C6038" w14:textId="77777777" w:rsidR="007650DF" w:rsidRDefault="00626D0C">
            <w:pPr>
              <w:widowControl w:val="0"/>
              <w:rPr>
                <w:rFonts w:asciiTheme="majorHAnsi" w:eastAsia="Century Gothic" w:hAnsiTheme="majorHAnsi" w:cstheme="majorHAnsi"/>
                <w:color w:val="FFFFFF"/>
              </w:rPr>
            </w:pPr>
            <w:r>
              <w:rPr>
                <w:rFonts w:asciiTheme="majorHAnsi" w:eastAsia="Century Gothic" w:hAnsiTheme="majorHAnsi" w:cstheme="majorHAnsi"/>
                <w:color w:val="FFFFFF"/>
              </w:rPr>
              <w:t>Deliverable name</w:t>
            </w:r>
          </w:p>
        </w:tc>
        <w:tc>
          <w:tcPr>
            <w:tcW w:w="5761" w:type="dxa"/>
            <w:tcBorders>
              <w:top w:val="single" w:sz="4" w:space="0" w:color="000000"/>
              <w:left w:val="single" w:sz="4" w:space="0" w:color="000000"/>
              <w:bottom w:val="single" w:sz="4" w:space="0" w:color="000000"/>
              <w:right w:val="single" w:sz="4" w:space="0" w:color="000000"/>
            </w:tcBorders>
            <w:vAlign w:val="center"/>
          </w:tcPr>
          <w:p w14:paraId="3EA40827" w14:textId="77777777" w:rsidR="007650DF" w:rsidRDefault="00626D0C">
            <w:pPr>
              <w:widowControl w:val="0"/>
              <w:jc w:val="both"/>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Inventory of upcoming technologies and required inter- and transdisciplinary networks bridging the gap between genome/cellular/organoid and organism level information with respect to key challenges as outlined in the Green Deal and Farm to Fork strategy</w:t>
            </w:r>
          </w:p>
        </w:tc>
      </w:tr>
      <w:tr w:rsidR="007650DF" w14:paraId="751E85BB"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7A2C56EB" w14:textId="77777777" w:rsidR="007650DF" w:rsidRDefault="00626D0C">
            <w:pPr>
              <w:widowControl w:val="0"/>
              <w:rPr>
                <w:rFonts w:asciiTheme="majorHAnsi" w:eastAsia="Century Gothic" w:hAnsiTheme="majorHAnsi" w:cstheme="majorHAnsi"/>
                <w:color w:val="FFFFFF"/>
              </w:rPr>
            </w:pPr>
            <w:r>
              <w:rPr>
                <w:rFonts w:asciiTheme="majorHAnsi" w:eastAsia="Century Gothic" w:hAnsiTheme="majorHAnsi" w:cstheme="majorHAnsi"/>
                <w:color w:val="FFFFFF"/>
              </w:rPr>
              <w:t>Deliverable number</w:t>
            </w:r>
          </w:p>
        </w:tc>
        <w:tc>
          <w:tcPr>
            <w:tcW w:w="5761" w:type="dxa"/>
            <w:tcBorders>
              <w:top w:val="single" w:sz="4" w:space="0" w:color="000000"/>
              <w:left w:val="single" w:sz="4" w:space="0" w:color="000000"/>
              <w:bottom w:val="single" w:sz="4" w:space="0" w:color="000000"/>
              <w:right w:val="single" w:sz="4" w:space="0" w:color="000000"/>
            </w:tcBorders>
            <w:vAlign w:val="center"/>
          </w:tcPr>
          <w:p w14:paraId="120F6EE8" w14:textId="77777777" w:rsidR="007650DF" w:rsidRDefault="00626D0C">
            <w:pPr>
              <w:widowControl w:val="0"/>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Deliverable 6.1</w:t>
            </w:r>
          </w:p>
        </w:tc>
      </w:tr>
      <w:tr w:rsidR="007650DF" w14:paraId="13D4F105"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2EFD53C4" w14:textId="77777777" w:rsidR="007650DF" w:rsidRDefault="00626D0C">
            <w:pPr>
              <w:widowControl w:val="0"/>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Partners providing input to this Deliverable</w:t>
            </w:r>
          </w:p>
        </w:tc>
        <w:tc>
          <w:tcPr>
            <w:tcW w:w="5761" w:type="dxa"/>
            <w:tcBorders>
              <w:top w:val="single" w:sz="4" w:space="0" w:color="000000"/>
              <w:left w:val="single" w:sz="4" w:space="0" w:color="000000"/>
              <w:bottom w:val="single" w:sz="4" w:space="0" w:color="000000"/>
              <w:right w:val="single" w:sz="4" w:space="0" w:color="000000"/>
            </w:tcBorders>
            <w:vAlign w:val="center"/>
          </w:tcPr>
          <w:p w14:paraId="4783515B" w14:textId="0FB8AFAD" w:rsidR="007650DF" w:rsidRDefault="00626D0C">
            <w:pPr>
              <w:widowControl w:val="0"/>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FBN, INRA</w:t>
            </w:r>
            <w:r w:rsidR="00657CDD">
              <w:rPr>
                <w:rFonts w:asciiTheme="majorHAnsi" w:eastAsia="Century Gothic" w:hAnsiTheme="majorHAnsi" w:cstheme="majorHAnsi"/>
                <w:color w:val="000000" w:themeColor="text1"/>
                <w:lang w:val="en-US"/>
              </w:rPr>
              <w:t>E</w:t>
            </w:r>
            <w:r>
              <w:rPr>
                <w:rFonts w:asciiTheme="majorHAnsi" w:eastAsia="Century Gothic" w:hAnsiTheme="majorHAnsi" w:cstheme="majorHAnsi"/>
                <w:color w:val="000000" w:themeColor="text1"/>
                <w:lang w:val="en-US"/>
              </w:rPr>
              <w:t>, NMBU</w:t>
            </w:r>
          </w:p>
        </w:tc>
      </w:tr>
      <w:tr w:rsidR="007650DF" w14:paraId="30B2B987"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6B2F01F0" w14:textId="77777777" w:rsidR="007650DF" w:rsidRDefault="00626D0C">
            <w:pPr>
              <w:widowControl w:val="0"/>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 xml:space="preserve">Draft final version </w:t>
            </w:r>
            <w:r>
              <w:rPr>
                <w:rFonts w:asciiTheme="majorHAnsi" w:eastAsia="Century Gothic" w:hAnsiTheme="majorHAnsi" w:cstheme="majorHAnsi"/>
                <w:color w:val="FFFFFF"/>
                <w:lang w:val="en-US"/>
              </w:rPr>
              <w:br/>
              <w:t>circulated by lead party to:</w:t>
            </w:r>
          </w:p>
          <w:p w14:paraId="056A4C14" w14:textId="77777777" w:rsidR="007650DF" w:rsidRDefault="00626D0C">
            <w:pPr>
              <w:widowControl w:val="0"/>
              <w:ind w:left="447" w:hanging="141"/>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On date</w:t>
            </w:r>
          </w:p>
        </w:tc>
        <w:tc>
          <w:tcPr>
            <w:tcW w:w="5761" w:type="dxa"/>
            <w:tcBorders>
              <w:top w:val="single" w:sz="4" w:space="0" w:color="000000"/>
              <w:left w:val="single" w:sz="4" w:space="0" w:color="000000"/>
              <w:bottom w:val="single" w:sz="4" w:space="0" w:color="000000"/>
              <w:right w:val="single" w:sz="4" w:space="0" w:color="000000"/>
            </w:tcBorders>
            <w:vAlign w:val="center"/>
          </w:tcPr>
          <w:p w14:paraId="59F5405B" w14:textId="77777777" w:rsidR="007650DF" w:rsidRDefault="00626D0C">
            <w:pPr>
              <w:widowControl w:val="0"/>
              <w:ind w:left="174" w:hanging="146"/>
              <w:contextualSpacing/>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w:t>
            </w:r>
          </w:p>
        </w:tc>
      </w:tr>
      <w:tr w:rsidR="007650DF" w14:paraId="526682F8"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53843B0C" w14:textId="77777777" w:rsidR="007650DF" w:rsidRDefault="00626D0C">
            <w:pPr>
              <w:widowControl w:val="0"/>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Approved by  (on date)</w:t>
            </w:r>
          </w:p>
        </w:tc>
        <w:tc>
          <w:tcPr>
            <w:tcW w:w="5761" w:type="dxa"/>
            <w:tcBorders>
              <w:top w:val="single" w:sz="4" w:space="0" w:color="000000"/>
              <w:left w:val="single" w:sz="4" w:space="0" w:color="000000"/>
              <w:bottom w:val="single" w:sz="4" w:space="0" w:color="000000"/>
              <w:right w:val="single" w:sz="4" w:space="0" w:color="000000"/>
            </w:tcBorders>
            <w:vAlign w:val="center"/>
          </w:tcPr>
          <w:p w14:paraId="12DA0E62" w14:textId="77777777" w:rsidR="007650DF" w:rsidRDefault="00626D0C">
            <w:pPr>
              <w:widowControl w:val="0"/>
              <w:rPr>
                <w:rFonts w:asciiTheme="majorHAnsi" w:eastAsia="Century Gothic" w:hAnsiTheme="majorHAnsi" w:cstheme="majorHAnsi"/>
                <w:color w:val="000000" w:themeColor="text1"/>
                <w:lang w:val="es-ES"/>
              </w:rPr>
            </w:pPr>
            <w:r>
              <w:rPr>
                <w:rFonts w:asciiTheme="majorHAnsi" w:eastAsia="Century Gothic" w:hAnsiTheme="majorHAnsi" w:cstheme="majorHAnsi"/>
                <w:color w:val="000000" w:themeColor="text1"/>
                <w:lang w:val="es-ES"/>
              </w:rPr>
              <w:t>¿</w:t>
            </w:r>
          </w:p>
        </w:tc>
      </w:tr>
      <w:tr w:rsidR="007650DF" w14:paraId="6F9A93C1"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41BB34DE" w14:textId="77777777" w:rsidR="007650DF" w:rsidRDefault="00626D0C">
            <w:pPr>
              <w:widowControl w:val="0"/>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Work package no</w:t>
            </w:r>
          </w:p>
        </w:tc>
        <w:tc>
          <w:tcPr>
            <w:tcW w:w="5761" w:type="dxa"/>
            <w:tcBorders>
              <w:top w:val="single" w:sz="4" w:space="0" w:color="000000"/>
              <w:left w:val="single" w:sz="4" w:space="0" w:color="000000"/>
              <w:bottom w:val="single" w:sz="4" w:space="0" w:color="000000"/>
              <w:right w:val="single" w:sz="4" w:space="0" w:color="000000"/>
            </w:tcBorders>
            <w:vAlign w:val="center"/>
          </w:tcPr>
          <w:p w14:paraId="45E7FB25" w14:textId="77777777" w:rsidR="007650DF" w:rsidRDefault="00626D0C">
            <w:pPr>
              <w:widowControl w:val="0"/>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6</w:t>
            </w:r>
          </w:p>
        </w:tc>
      </w:tr>
      <w:tr w:rsidR="007650DF" w14:paraId="484F0F75" w14:textId="77777777">
        <w:trPr>
          <w:trHeight w:val="440"/>
        </w:trPr>
        <w:tc>
          <w:tcPr>
            <w:tcW w:w="3254"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182340BC" w14:textId="77777777" w:rsidR="007650DF" w:rsidRDefault="00626D0C">
            <w:pPr>
              <w:widowControl w:val="0"/>
              <w:rPr>
                <w:rFonts w:asciiTheme="majorHAnsi" w:eastAsia="Century Gothic" w:hAnsiTheme="majorHAnsi" w:cstheme="majorHAnsi"/>
                <w:color w:val="FFFFFF"/>
                <w:lang w:val="en-US"/>
              </w:rPr>
            </w:pPr>
            <w:r>
              <w:rPr>
                <w:rFonts w:asciiTheme="majorHAnsi" w:eastAsia="Century Gothic" w:hAnsiTheme="majorHAnsi" w:cstheme="majorHAnsi"/>
                <w:color w:val="FFFFFF"/>
                <w:lang w:val="en-US"/>
              </w:rPr>
              <w:t>Dissemination level</w:t>
            </w:r>
          </w:p>
        </w:tc>
        <w:tc>
          <w:tcPr>
            <w:tcW w:w="5761" w:type="dxa"/>
            <w:tcBorders>
              <w:top w:val="single" w:sz="4" w:space="0" w:color="000000"/>
              <w:left w:val="single" w:sz="4" w:space="0" w:color="000000"/>
              <w:bottom w:val="single" w:sz="4" w:space="0" w:color="000000"/>
              <w:right w:val="single" w:sz="4" w:space="0" w:color="000000"/>
            </w:tcBorders>
            <w:vAlign w:val="center"/>
          </w:tcPr>
          <w:p w14:paraId="1B773C3F" w14:textId="77777777" w:rsidR="007650DF" w:rsidRDefault="00626D0C">
            <w:pPr>
              <w:widowControl w:val="0"/>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w:t>
            </w:r>
          </w:p>
        </w:tc>
      </w:tr>
    </w:tbl>
    <w:p w14:paraId="1C10DBCA" w14:textId="77777777" w:rsidR="007650DF" w:rsidRDefault="007650DF">
      <w:pPr>
        <w:rPr>
          <w:rFonts w:asciiTheme="majorHAnsi" w:eastAsia="Century Gothic" w:hAnsiTheme="majorHAnsi" w:cstheme="majorHAnsi"/>
          <w:b/>
          <w:color w:val="404D5E"/>
          <w:lang w:val="en-US"/>
        </w:rPr>
      </w:pPr>
    </w:p>
    <w:p w14:paraId="4DCC9785" w14:textId="77777777" w:rsidR="007650DF" w:rsidRDefault="00626D0C">
      <w:pPr>
        <w:rPr>
          <w:rFonts w:asciiTheme="majorHAnsi" w:eastAsia="Century Gothic" w:hAnsiTheme="majorHAnsi" w:cstheme="majorHAnsi"/>
          <w:b/>
          <w:color w:val="000000" w:themeColor="text1"/>
        </w:rPr>
      </w:pPr>
      <w:r>
        <w:rPr>
          <w:rFonts w:asciiTheme="majorHAnsi" w:eastAsia="Century Gothic" w:hAnsiTheme="majorHAnsi" w:cstheme="majorHAnsi"/>
          <w:b/>
          <w:color w:val="000000" w:themeColor="text1"/>
        </w:rPr>
        <w:t>REVISION HISTORY</w:t>
      </w:r>
    </w:p>
    <w:tbl>
      <w:tblPr>
        <w:tblW w:w="9067" w:type="dxa"/>
        <w:tblLayout w:type="fixed"/>
        <w:tblLook w:val="0400" w:firstRow="0" w:lastRow="0" w:firstColumn="0" w:lastColumn="0" w:noHBand="0" w:noVBand="1"/>
      </w:tblPr>
      <w:tblGrid>
        <w:gridCol w:w="1982"/>
        <w:gridCol w:w="1701"/>
        <w:gridCol w:w="3684"/>
        <w:gridCol w:w="1700"/>
      </w:tblGrid>
      <w:tr w:rsidR="007650DF" w14:paraId="667FEB1F"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3CDD9991" w14:textId="77777777" w:rsidR="007650DF" w:rsidRDefault="00626D0C">
            <w:pPr>
              <w:widowControl w:val="0"/>
              <w:jc w:val="center"/>
              <w:rPr>
                <w:rFonts w:asciiTheme="majorHAnsi" w:eastAsia="Century Gothic" w:hAnsiTheme="majorHAnsi" w:cstheme="majorHAnsi"/>
                <w:color w:val="FFFFFF"/>
              </w:rPr>
            </w:pPr>
            <w:r>
              <w:rPr>
                <w:rFonts w:asciiTheme="majorHAnsi" w:eastAsia="Century Gothic" w:hAnsiTheme="majorHAnsi" w:cstheme="majorHAnsi"/>
                <w:color w:val="FFFFFF"/>
              </w:rPr>
              <w:t>Version number</w:t>
            </w:r>
          </w:p>
        </w:tc>
        <w:tc>
          <w:tcPr>
            <w:tcW w:w="1701" w:type="dxa"/>
            <w:tcBorders>
              <w:top w:val="single" w:sz="4" w:space="0" w:color="000000"/>
              <w:left w:val="single" w:sz="4" w:space="0" w:color="000000"/>
              <w:bottom w:val="single" w:sz="4" w:space="0" w:color="000000"/>
              <w:right w:val="single" w:sz="4" w:space="0" w:color="000000"/>
            </w:tcBorders>
            <w:shd w:val="clear" w:color="auto" w:fill="404D5E"/>
            <w:vAlign w:val="center"/>
          </w:tcPr>
          <w:p w14:paraId="1C5917C2" w14:textId="77777777" w:rsidR="007650DF" w:rsidRDefault="00626D0C">
            <w:pPr>
              <w:widowControl w:val="0"/>
              <w:jc w:val="center"/>
              <w:rPr>
                <w:rFonts w:asciiTheme="majorHAnsi" w:eastAsia="Century Gothic" w:hAnsiTheme="majorHAnsi" w:cstheme="majorHAnsi"/>
                <w:color w:val="FFFFFF"/>
              </w:rPr>
            </w:pPr>
            <w:r>
              <w:rPr>
                <w:rFonts w:asciiTheme="majorHAnsi" w:eastAsia="Century Gothic" w:hAnsiTheme="majorHAnsi" w:cstheme="majorHAnsi"/>
                <w:color w:val="FFFFFF"/>
              </w:rPr>
              <w:t>Version date</w:t>
            </w:r>
          </w:p>
        </w:tc>
        <w:tc>
          <w:tcPr>
            <w:tcW w:w="3684" w:type="dxa"/>
            <w:tcBorders>
              <w:top w:val="single" w:sz="4" w:space="0" w:color="000000"/>
              <w:left w:val="single" w:sz="4" w:space="0" w:color="000000"/>
              <w:bottom w:val="single" w:sz="4" w:space="0" w:color="000000"/>
              <w:right w:val="single" w:sz="4" w:space="0" w:color="000000"/>
            </w:tcBorders>
            <w:shd w:val="clear" w:color="auto" w:fill="405463"/>
            <w:vAlign w:val="center"/>
          </w:tcPr>
          <w:p w14:paraId="20F13D47" w14:textId="77777777" w:rsidR="007650DF" w:rsidRDefault="00626D0C">
            <w:pPr>
              <w:widowControl w:val="0"/>
              <w:jc w:val="center"/>
              <w:rPr>
                <w:rFonts w:asciiTheme="majorHAnsi" w:eastAsia="Century Gothic" w:hAnsiTheme="majorHAnsi" w:cstheme="majorHAnsi"/>
                <w:color w:val="FFFFFF"/>
              </w:rPr>
            </w:pPr>
            <w:r>
              <w:rPr>
                <w:rFonts w:asciiTheme="majorHAnsi" w:eastAsia="Century Gothic" w:hAnsiTheme="majorHAnsi" w:cstheme="majorHAnsi"/>
                <w:color w:val="FFFFFF"/>
              </w:rPr>
              <w:t>Document name</w:t>
            </w:r>
          </w:p>
        </w:tc>
        <w:tc>
          <w:tcPr>
            <w:tcW w:w="1700" w:type="dxa"/>
            <w:tcBorders>
              <w:top w:val="single" w:sz="4" w:space="0" w:color="000000"/>
              <w:left w:val="single" w:sz="4" w:space="0" w:color="000000"/>
              <w:bottom w:val="single" w:sz="4" w:space="0" w:color="000000"/>
              <w:right w:val="single" w:sz="4" w:space="0" w:color="000000"/>
            </w:tcBorders>
            <w:shd w:val="clear" w:color="auto" w:fill="405463"/>
            <w:vAlign w:val="center"/>
          </w:tcPr>
          <w:p w14:paraId="61C8916D" w14:textId="77777777" w:rsidR="007650DF" w:rsidRDefault="00626D0C">
            <w:pPr>
              <w:widowControl w:val="0"/>
              <w:jc w:val="center"/>
              <w:rPr>
                <w:rFonts w:asciiTheme="majorHAnsi" w:eastAsia="Century Gothic" w:hAnsiTheme="majorHAnsi" w:cstheme="majorHAnsi"/>
                <w:color w:val="FFFFFF"/>
              </w:rPr>
            </w:pPr>
            <w:r>
              <w:rPr>
                <w:rFonts w:asciiTheme="majorHAnsi" w:eastAsia="Century Gothic" w:hAnsiTheme="majorHAnsi" w:cstheme="majorHAnsi"/>
                <w:color w:val="FFFFFF"/>
              </w:rPr>
              <w:t xml:space="preserve">Lead partner </w:t>
            </w:r>
          </w:p>
        </w:tc>
      </w:tr>
      <w:tr w:rsidR="007650DF" w14:paraId="5A08825A"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6BED03"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Vs1</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06362"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22.04.2025</w:t>
            </w:r>
          </w:p>
        </w:tc>
        <w:tc>
          <w:tcPr>
            <w:tcW w:w="36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A17188" w14:textId="77777777" w:rsidR="007650DF" w:rsidRDefault="00626D0C">
            <w:pPr>
              <w:widowControl w:val="0"/>
              <w:jc w:val="center"/>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EuroFAANG_D6.1_v1</w:t>
            </w:r>
          </w:p>
        </w:tc>
        <w:tc>
          <w:tcPr>
            <w:tcW w:w="1700" w:type="dxa"/>
            <w:tcBorders>
              <w:top w:val="single" w:sz="4" w:space="0" w:color="000000"/>
              <w:left w:val="single" w:sz="4" w:space="0" w:color="000000"/>
              <w:bottom w:val="single" w:sz="4" w:space="0" w:color="000000"/>
              <w:right w:val="single" w:sz="4" w:space="0" w:color="000000"/>
            </w:tcBorders>
            <w:vAlign w:val="center"/>
          </w:tcPr>
          <w:p w14:paraId="198D3A76"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FBN</w:t>
            </w:r>
          </w:p>
        </w:tc>
      </w:tr>
      <w:tr w:rsidR="007650DF" w:rsidRPr="00D87785" w14:paraId="3B2329FA"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FFFFFF"/>
          </w:tcPr>
          <w:p w14:paraId="137DAD76"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Vs2</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743785" w14:textId="4D40873A" w:rsidR="007650DF" w:rsidRDefault="00657CDD" w:rsidP="00B47D83">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28.04.2025</w:t>
            </w:r>
          </w:p>
        </w:tc>
        <w:tc>
          <w:tcPr>
            <w:tcW w:w="3684" w:type="dxa"/>
            <w:tcBorders>
              <w:top w:val="single" w:sz="4" w:space="0" w:color="000000"/>
              <w:left w:val="single" w:sz="4" w:space="0" w:color="000000"/>
              <w:bottom w:val="single" w:sz="4" w:space="0" w:color="000000"/>
              <w:right w:val="single" w:sz="4" w:space="0" w:color="000000"/>
            </w:tcBorders>
            <w:vAlign w:val="center"/>
          </w:tcPr>
          <w:p w14:paraId="2082D73D" w14:textId="604B0662" w:rsidR="007650DF" w:rsidRDefault="00657CDD">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lang w:val="en-US"/>
              </w:rPr>
              <w:t>EuroFAANG_D6.1_v2</w:t>
            </w:r>
          </w:p>
        </w:tc>
        <w:tc>
          <w:tcPr>
            <w:tcW w:w="1700" w:type="dxa"/>
            <w:tcBorders>
              <w:top w:val="single" w:sz="4" w:space="0" w:color="000000"/>
              <w:left w:val="single" w:sz="4" w:space="0" w:color="000000"/>
              <w:bottom w:val="single" w:sz="4" w:space="0" w:color="000000"/>
              <w:right w:val="single" w:sz="4" w:space="0" w:color="000000"/>
            </w:tcBorders>
            <w:vAlign w:val="center"/>
          </w:tcPr>
          <w:p w14:paraId="5688048B" w14:textId="3D6F6E6B" w:rsidR="007650DF" w:rsidRPr="00D87785" w:rsidRDefault="00657CDD">
            <w:pPr>
              <w:widowControl w:val="0"/>
              <w:jc w:val="center"/>
              <w:rPr>
                <w:rFonts w:asciiTheme="majorHAnsi" w:eastAsia="Century Gothic" w:hAnsiTheme="majorHAnsi" w:cstheme="majorHAnsi"/>
                <w:color w:val="000000" w:themeColor="text1"/>
                <w:lang w:val="en-US"/>
              </w:rPr>
            </w:pPr>
            <w:r w:rsidRPr="00D87785">
              <w:rPr>
                <w:rFonts w:asciiTheme="majorHAnsi" w:eastAsia="Century Gothic" w:hAnsiTheme="majorHAnsi" w:cstheme="majorHAnsi"/>
                <w:color w:val="000000" w:themeColor="text1"/>
                <w:lang w:val="en-US"/>
              </w:rPr>
              <w:t xml:space="preserve">FBN (After feedback from </w:t>
            </w:r>
            <w:r>
              <w:rPr>
                <w:rFonts w:asciiTheme="majorHAnsi" w:eastAsia="Century Gothic" w:hAnsiTheme="majorHAnsi" w:cstheme="majorHAnsi"/>
                <w:color w:val="000000" w:themeColor="text1"/>
                <w:lang w:val="en-US"/>
              </w:rPr>
              <w:t>INRAE, NMBU and UEDIN)</w:t>
            </w:r>
          </w:p>
        </w:tc>
      </w:tr>
      <w:tr w:rsidR="007650DF" w:rsidRPr="00D87785" w14:paraId="6F524ED1"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FFFFFF"/>
          </w:tcPr>
          <w:p w14:paraId="4F0E41B9"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FC313E" w14:textId="3C85EF8C" w:rsidR="007650DF" w:rsidRDefault="007735FB">
            <w:pPr>
              <w:widowControl w:val="0"/>
              <w:jc w:val="center"/>
              <w:rPr>
                <w:rFonts w:asciiTheme="majorHAnsi" w:eastAsia="Century Gothic" w:hAnsiTheme="majorHAnsi" w:cstheme="majorHAnsi"/>
                <w:color w:val="000000" w:themeColor="text1"/>
                <w:lang w:val="es-ES"/>
              </w:rPr>
            </w:pPr>
            <w:r>
              <w:rPr>
                <w:rFonts w:asciiTheme="majorHAnsi" w:eastAsia="Century Gothic" w:hAnsiTheme="majorHAnsi" w:cstheme="majorHAnsi"/>
                <w:color w:val="000000" w:themeColor="text1"/>
              </w:rPr>
              <w:t>28.04.2025</w:t>
            </w:r>
          </w:p>
        </w:tc>
        <w:tc>
          <w:tcPr>
            <w:tcW w:w="3684" w:type="dxa"/>
            <w:tcBorders>
              <w:top w:val="single" w:sz="4" w:space="0" w:color="000000"/>
              <w:left w:val="single" w:sz="4" w:space="0" w:color="000000"/>
              <w:bottom w:val="single" w:sz="4" w:space="0" w:color="000000"/>
              <w:right w:val="single" w:sz="4" w:space="0" w:color="000000"/>
            </w:tcBorders>
            <w:vAlign w:val="center"/>
          </w:tcPr>
          <w:p w14:paraId="15FA0BF7" w14:textId="75CE1E81" w:rsidR="007650DF" w:rsidRDefault="007735FB">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lang w:val="en-US"/>
              </w:rPr>
              <w:t>EuroFAANG_D6.1_v3</w:t>
            </w:r>
          </w:p>
        </w:tc>
        <w:tc>
          <w:tcPr>
            <w:tcW w:w="1700" w:type="dxa"/>
            <w:tcBorders>
              <w:top w:val="single" w:sz="4" w:space="0" w:color="000000"/>
              <w:left w:val="single" w:sz="4" w:space="0" w:color="000000"/>
              <w:bottom w:val="single" w:sz="4" w:space="0" w:color="000000"/>
              <w:right w:val="single" w:sz="4" w:space="0" w:color="000000"/>
            </w:tcBorders>
            <w:vAlign w:val="center"/>
          </w:tcPr>
          <w:p w14:paraId="34A9C0B2" w14:textId="43F2C20D" w:rsidR="007650DF" w:rsidRPr="00D87785" w:rsidRDefault="007735FB" w:rsidP="007735FB">
            <w:pPr>
              <w:widowControl w:val="0"/>
              <w:jc w:val="center"/>
              <w:rPr>
                <w:rFonts w:asciiTheme="majorHAnsi" w:eastAsia="Century Gothic" w:hAnsiTheme="majorHAnsi" w:cstheme="majorHAnsi"/>
                <w:color w:val="000000" w:themeColor="text1"/>
                <w:lang w:val="en-US"/>
              </w:rPr>
            </w:pPr>
            <w:r w:rsidRPr="00FE46B6">
              <w:rPr>
                <w:rFonts w:asciiTheme="majorHAnsi" w:eastAsia="Century Gothic" w:hAnsiTheme="majorHAnsi" w:cstheme="majorHAnsi"/>
                <w:color w:val="000000" w:themeColor="text1"/>
                <w:lang w:val="en-US"/>
              </w:rPr>
              <w:t xml:space="preserve">FBN (After feedback from </w:t>
            </w:r>
            <w:r>
              <w:rPr>
                <w:rFonts w:asciiTheme="majorHAnsi" w:eastAsia="Century Gothic" w:hAnsiTheme="majorHAnsi" w:cstheme="majorHAnsi"/>
                <w:color w:val="000000" w:themeColor="text1"/>
                <w:lang w:val="en-US"/>
              </w:rPr>
              <w:t>INRAE and UEDIN)</w:t>
            </w:r>
          </w:p>
        </w:tc>
      </w:tr>
      <w:tr w:rsidR="007650DF" w14:paraId="6C9F493F"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FFFFFF"/>
          </w:tcPr>
          <w:p w14:paraId="43A6A62E"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420F18" w14:textId="77777777" w:rsidR="007650DF" w:rsidRDefault="007650DF">
            <w:pPr>
              <w:widowControl w:val="0"/>
              <w:jc w:val="center"/>
              <w:rPr>
                <w:rFonts w:asciiTheme="majorHAnsi" w:eastAsia="Century Gothic" w:hAnsiTheme="majorHAnsi" w:cstheme="majorHAnsi"/>
                <w:color w:val="000000" w:themeColor="text1"/>
              </w:rPr>
            </w:pPr>
          </w:p>
        </w:tc>
        <w:tc>
          <w:tcPr>
            <w:tcW w:w="3684" w:type="dxa"/>
            <w:tcBorders>
              <w:top w:val="single" w:sz="4" w:space="0" w:color="000000"/>
              <w:left w:val="single" w:sz="4" w:space="0" w:color="000000"/>
              <w:bottom w:val="single" w:sz="4" w:space="0" w:color="000000"/>
              <w:right w:val="single" w:sz="4" w:space="0" w:color="000000"/>
            </w:tcBorders>
            <w:vAlign w:val="center"/>
          </w:tcPr>
          <w:p w14:paraId="604A0A7F" w14:textId="77777777" w:rsidR="007650DF" w:rsidRDefault="007650DF">
            <w:pPr>
              <w:widowControl w:val="0"/>
              <w:jc w:val="center"/>
              <w:rPr>
                <w:rFonts w:asciiTheme="majorHAnsi" w:eastAsia="Century Gothic" w:hAnsiTheme="majorHAnsi" w:cstheme="majorHAnsi"/>
                <w:color w:val="000000" w:themeColor="text1"/>
                <w:lang w:val="en-US"/>
              </w:rPr>
            </w:pPr>
          </w:p>
        </w:tc>
        <w:tc>
          <w:tcPr>
            <w:tcW w:w="1700" w:type="dxa"/>
            <w:tcBorders>
              <w:top w:val="single" w:sz="4" w:space="0" w:color="000000"/>
              <w:left w:val="single" w:sz="4" w:space="0" w:color="000000"/>
              <w:bottom w:val="single" w:sz="4" w:space="0" w:color="000000"/>
              <w:right w:val="single" w:sz="4" w:space="0" w:color="000000"/>
            </w:tcBorders>
            <w:vAlign w:val="center"/>
          </w:tcPr>
          <w:p w14:paraId="138190DE" w14:textId="77777777" w:rsidR="007650DF" w:rsidRDefault="007650DF">
            <w:pPr>
              <w:widowControl w:val="0"/>
              <w:jc w:val="center"/>
              <w:rPr>
                <w:rFonts w:asciiTheme="majorHAnsi" w:eastAsia="Century Gothic" w:hAnsiTheme="majorHAnsi" w:cstheme="majorHAnsi"/>
                <w:color w:val="000000" w:themeColor="text1"/>
              </w:rPr>
            </w:pPr>
          </w:p>
        </w:tc>
      </w:tr>
      <w:tr w:rsidR="007650DF" w14:paraId="4CD3766E" w14:textId="77777777">
        <w:trPr>
          <w:trHeight w:val="440"/>
        </w:trPr>
        <w:tc>
          <w:tcPr>
            <w:tcW w:w="1981" w:type="dxa"/>
            <w:tcBorders>
              <w:top w:val="single" w:sz="4" w:space="0" w:color="000000"/>
              <w:left w:val="single" w:sz="4" w:space="0" w:color="000000"/>
              <w:bottom w:val="single" w:sz="4" w:space="0" w:color="000000"/>
              <w:right w:val="single" w:sz="4" w:space="0" w:color="000000"/>
            </w:tcBorders>
            <w:shd w:val="clear" w:color="auto" w:fill="FFFFFF"/>
          </w:tcPr>
          <w:p w14:paraId="35C9E35C" w14:textId="77777777" w:rsidR="007650DF" w:rsidRDefault="00626D0C">
            <w:pPr>
              <w:widowControl w:val="0"/>
              <w:jc w:val="center"/>
              <w:rPr>
                <w:rFonts w:asciiTheme="majorHAnsi" w:eastAsia="Century Gothic" w:hAnsiTheme="majorHAnsi" w:cstheme="majorHAnsi"/>
                <w:color w:val="000000" w:themeColor="text1"/>
              </w:rPr>
            </w:pPr>
            <w:r>
              <w:rPr>
                <w:rFonts w:asciiTheme="majorHAnsi" w:eastAsia="Century Gothic" w:hAnsiTheme="majorHAnsi" w:cstheme="majorHAnsi"/>
                <w:color w:val="000000" w:themeColor="text1"/>
              </w:rPr>
              <w:t>Vs5</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240270" w14:textId="77777777" w:rsidR="007650DF" w:rsidRDefault="007650DF">
            <w:pPr>
              <w:widowControl w:val="0"/>
              <w:jc w:val="center"/>
              <w:rPr>
                <w:rFonts w:asciiTheme="majorHAnsi" w:eastAsia="Century Gothic" w:hAnsiTheme="majorHAnsi" w:cstheme="majorHAnsi"/>
                <w:color w:val="000000" w:themeColor="text1"/>
                <w:lang w:val="es-ES"/>
              </w:rPr>
            </w:pPr>
          </w:p>
        </w:tc>
        <w:tc>
          <w:tcPr>
            <w:tcW w:w="3684" w:type="dxa"/>
            <w:tcBorders>
              <w:top w:val="single" w:sz="4" w:space="0" w:color="000000"/>
              <w:left w:val="single" w:sz="4" w:space="0" w:color="000000"/>
              <w:bottom w:val="single" w:sz="4" w:space="0" w:color="000000"/>
              <w:right w:val="single" w:sz="4" w:space="0" w:color="000000"/>
            </w:tcBorders>
            <w:vAlign w:val="center"/>
          </w:tcPr>
          <w:p w14:paraId="097E3724" w14:textId="77777777" w:rsidR="007650DF" w:rsidRDefault="007650DF">
            <w:pPr>
              <w:widowControl w:val="0"/>
              <w:jc w:val="center"/>
              <w:rPr>
                <w:rFonts w:asciiTheme="majorHAnsi" w:eastAsia="Century Gothic" w:hAnsiTheme="majorHAnsi" w:cstheme="majorHAnsi"/>
                <w:color w:val="000000" w:themeColor="text1"/>
                <w:lang w:val="en-US"/>
              </w:rPr>
            </w:pPr>
          </w:p>
        </w:tc>
        <w:tc>
          <w:tcPr>
            <w:tcW w:w="1700" w:type="dxa"/>
            <w:tcBorders>
              <w:top w:val="single" w:sz="4" w:space="0" w:color="000000"/>
              <w:left w:val="single" w:sz="4" w:space="0" w:color="000000"/>
              <w:bottom w:val="single" w:sz="4" w:space="0" w:color="000000"/>
              <w:right w:val="single" w:sz="4" w:space="0" w:color="000000"/>
            </w:tcBorders>
            <w:vAlign w:val="center"/>
          </w:tcPr>
          <w:p w14:paraId="4A161940" w14:textId="77777777" w:rsidR="007650DF" w:rsidRDefault="007650DF">
            <w:pPr>
              <w:widowControl w:val="0"/>
              <w:jc w:val="center"/>
              <w:rPr>
                <w:rFonts w:asciiTheme="majorHAnsi" w:eastAsia="Century Gothic" w:hAnsiTheme="majorHAnsi" w:cstheme="majorHAnsi"/>
                <w:color w:val="000000" w:themeColor="text1"/>
              </w:rPr>
            </w:pPr>
          </w:p>
        </w:tc>
      </w:tr>
    </w:tbl>
    <w:p w14:paraId="67732D0E" w14:textId="77777777" w:rsidR="007650DF" w:rsidRDefault="007650DF">
      <w:pPr>
        <w:jc w:val="center"/>
        <w:rPr>
          <w:rFonts w:ascii="Century Gothic" w:eastAsia="Century Gothic" w:hAnsi="Century Gothic" w:cs="Century Gothic"/>
          <w:b/>
          <w:color w:val="404D5E"/>
        </w:rPr>
      </w:pPr>
    </w:p>
    <w:p w14:paraId="48945CC9" w14:textId="77777777" w:rsidR="007650DF" w:rsidRDefault="00626D0C">
      <w:pPr>
        <w:rPr>
          <w:b/>
          <w:lang w:val="en-US"/>
        </w:rPr>
      </w:pPr>
      <w:r>
        <w:rPr>
          <w:b/>
          <w:lang w:val="en-US"/>
        </w:rPr>
        <w:t>Changes with respect to the DoA (Description of Action)</w:t>
      </w:r>
    </w:p>
    <w:p w14:paraId="7EB857AB" w14:textId="77777777" w:rsidR="007650DF" w:rsidRDefault="00626D0C">
      <w:pPr>
        <w:jc w:val="both"/>
        <w:rPr>
          <w:rFonts w:asciiTheme="majorHAnsi" w:eastAsia="Century Gothic" w:hAnsiTheme="majorHAnsi" w:cstheme="majorHAnsi"/>
          <w:color w:val="000000" w:themeColor="text1"/>
          <w:lang w:val="en-US"/>
        </w:rPr>
      </w:pPr>
      <w:r>
        <w:rPr>
          <w:rFonts w:asciiTheme="majorHAnsi" w:eastAsia="Century Gothic" w:hAnsiTheme="majorHAnsi" w:cstheme="majorHAnsi"/>
          <w:color w:val="000000" w:themeColor="text1"/>
          <w:lang w:val="en-US"/>
        </w:rPr>
        <w:t>None</w:t>
      </w:r>
    </w:p>
    <w:p w14:paraId="0108345C" w14:textId="77777777" w:rsidR="007650DF" w:rsidRDefault="00626D0C">
      <w:pPr>
        <w:rPr>
          <w:b/>
          <w:lang w:val="en-US"/>
        </w:rPr>
      </w:pPr>
      <w:r>
        <w:rPr>
          <w:b/>
          <w:lang w:val="en-US"/>
        </w:rPr>
        <w:t>Dissemination and uptake</w:t>
      </w:r>
    </w:p>
    <w:p w14:paraId="32CD5D01" w14:textId="77777777" w:rsidR="007650DF" w:rsidRDefault="007650DF">
      <w:pPr>
        <w:jc w:val="both"/>
        <w:rPr>
          <w:rFonts w:asciiTheme="majorHAnsi" w:eastAsia="Century Gothic" w:hAnsiTheme="majorHAnsi" w:cstheme="majorHAnsi"/>
          <w:color w:val="000000" w:themeColor="text1"/>
          <w:lang w:val="en-US"/>
        </w:rPr>
      </w:pPr>
    </w:p>
    <w:p w14:paraId="0B75AFF5" w14:textId="77777777" w:rsidR="007650DF" w:rsidRDefault="00626D0C">
      <w:pPr>
        <w:rPr>
          <w:rFonts w:asciiTheme="majorHAnsi" w:eastAsia="Century Gothic" w:hAnsiTheme="majorHAnsi" w:cstheme="majorHAnsi"/>
          <w:color w:val="FF0000"/>
          <w:sz w:val="32"/>
          <w:szCs w:val="32"/>
          <w:lang w:val="en-US"/>
        </w:rPr>
      </w:pPr>
      <w:r w:rsidRPr="008C29E3">
        <w:rPr>
          <w:lang w:val="en-GB"/>
        </w:rPr>
        <w:br w:type="page"/>
      </w:r>
    </w:p>
    <w:p w14:paraId="3CEBF8A6" w14:textId="77777777" w:rsidR="007650DF" w:rsidRDefault="00626D0C">
      <w:pPr>
        <w:rPr>
          <w:rFonts w:asciiTheme="majorHAnsi" w:eastAsia="Century Gothic" w:hAnsiTheme="majorHAnsi" w:cstheme="majorHAnsi"/>
          <w:b/>
          <w:color w:val="000000" w:themeColor="text1"/>
          <w:lang w:val="en-US"/>
        </w:rPr>
      </w:pPr>
      <w:r>
        <w:rPr>
          <w:rFonts w:asciiTheme="majorHAnsi" w:hAnsiTheme="majorHAnsi" w:cstheme="majorHAnsi"/>
          <w:color w:val="000000" w:themeColor="text1"/>
          <w:lang w:val="en-US"/>
        </w:rPr>
        <w:lastRenderedPageBreak/>
        <w:t xml:space="preserve"> </w:t>
      </w:r>
    </w:p>
    <w:p w14:paraId="43AEC1B2" w14:textId="77777777" w:rsidR="007650DF" w:rsidRDefault="00626D0C">
      <w:pPr>
        <w:jc w:val="center"/>
        <w:rPr>
          <w:rFonts w:asciiTheme="majorHAnsi" w:hAnsiTheme="majorHAnsi" w:cstheme="majorHAnsi"/>
          <w:b/>
          <w:bCs/>
          <w:color w:val="000000" w:themeColor="text1"/>
          <w:sz w:val="24"/>
          <w:szCs w:val="24"/>
          <w:highlight w:val="lightGray"/>
          <w:lang w:val="en-US"/>
        </w:rPr>
      </w:pPr>
      <w:r>
        <w:rPr>
          <w:rFonts w:asciiTheme="majorHAnsi" w:hAnsiTheme="majorHAnsi" w:cstheme="majorHAnsi"/>
          <w:b/>
          <w:bCs/>
          <w:color w:val="000000" w:themeColor="text1"/>
          <w:sz w:val="24"/>
          <w:szCs w:val="24"/>
          <w:highlight w:val="lightGray"/>
          <w:lang w:val="en-US"/>
        </w:rPr>
        <w:t>Table of Contents</w:t>
      </w:r>
    </w:p>
    <w:sdt>
      <w:sdtPr>
        <w:rPr>
          <w:rFonts w:eastAsia="Calibri" w:cs="Calibri"/>
          <w:b w:val="0"/>
          <w:color w:val="auto"/>
          <w:sz w:val="20"/>
          <w:szCs w:val="20"/>
          <w:u w:val="none"/>
        </w:rPr>
        <w:id w:val="1465735380"/>
        <w:docPartObj>
          <w:docPartGallery w:val="Table of Contents"/>
          <w:docPartUnique/>
        </w:docPartObj>
      </w:sdtPr>
      <w:sdtContent>
        <w:p w14:paraId="2249B377" w14:textId="77777777" w:rsidR="007650DF" w:rsidRDefault="007650DF">
          <w:pPr>
            <w:pStyle w:val="berschrift1"/>
            <w:numPr>
              <w:ilvl w:val="0"/>
              <w:numId w:val="0"/>
            </w:numPr>
            <w:ind w:left="360" w:hanging="360"/>
            <w:rPr>
              <w:sz w:val="24"/>
              <w:szCs w:val="24"/>
              <w:highlight w:val="lightGray"/>
            </w:rPr>
          </w:pPr>
        </w:p>
        <w:p w14:paraId="3CEF4669" w14:textId="3710266B" w:rsidR="002F626A" w:rsidRDefault="00626D0C">
          <w:pPr>
            <w:pStyle w:val="Verzeichnis1"/>
            <w:rPr>
              <w:rFonts w:asciiTheme="minorHAnsi" w:eastAsiaTheme="minorEastAsia" w:hAnsiTheme="minorHAnsi" w:cstheme="minorBidi"/>
              <w:b w:val="0"/>
              <w:noProof/>
              <w:sz w:val="22"/>
              <w:szCs w:val="22"/>
              <w:lang w:val="de-DE" w:eastAsia="de-DE"/>
            </w:rPr>
          </w:pPr>
          <w:r>
            <w:fldChar w:fldCharType="begin"/>
          </w:r>
          <w:r>
            <w:rPr>
              <w:rStyle w:val="Verzeichnissprung"/>
              <w:webHidden/>
            </w:rPr>
            <w:instrText xml:space="preserve"> TOC \z \o "1-3" \u \h</w:instrText>
          </w:r>
          <w:r>
            <w:rPr>
              <w:rStyle w:val="Verzeichnissprung"/>
            </w:rPr>
            <w:fldChar w:fldCharType="separate"/>
          </w:r>
          <w:hyperlink w:anchor="_Toc196688402" w:history="1">
            <w:r w:rsidR="002F626A" w:rsidRPr="009F20FA">
              <w:rPr>
                <w:rStyle w:val="Hyperlink"/>
                <w:noProof/>
              </w:rPr>
              <w:t>1.</w:t>
            </w:r>
            <w:r w:rsidR="002F626A">
              <w:rPr>
                <w:rFonts w:asciiTheme="minorHAnsi" w:eastAsiaTheme="minorEastAsia" w:hAnsiTheme="minorHAnsi" w:cstheme="minorBidi"/>
                <w:b w:val="0"/>
                <w:noProof/>
                <w:sz w:val="22"/>
                <w:szCs w:val="22"/>
                <w:lang w:val="de-DE" w:eastAsia="de-DE"/>
              </w:rPr>
              <w:tab/>
            </w:r>
            <w:r w:rsidR="002F626A" w:rsidRPr="009F20FA">
              <w:rPr>
                <w:rStyle w:val="Hyperlink"/>
                <w:noProof/>
              </w:rPr>
              <w:t>Executive Summary</w:t>
            </w:r>
            <w:r w:rsidR="002F626A">
              <w:rPr>
                <w:noProof/>
                <w:webHidden/>
              </w:rPr>
              <w:tab/>
            </w:r>
            <w:r w:rsidR="002F626A">
              <w:rPr>
                <w:noProof/>
                <w:webHidden/>
              </w:rPr>
              <w:fldChar w:fldCharType="begin"/>
            </w:r>
            <w:r w:rsidR="002F626A">
              <w:rPr>
                <w:noProof/>
                <w:webHidden/>
              </w:rPr>
              <w:instrText xml:space="preserve"> PAGEREF _Toc196688402 \h </w:instrText>
            </w:r>
            <w:r w:rsidR="002F626A">
              <w:rPr>
                <w:noProof/>
                <w:webHidden/>
              </w:rPr>
            </w:r>
            <w:r w:rsidR="002F626A">
              <w:rPr>
                <w:noProof/>
                <w:webHidden/>
              </w:rPr>
              <w:fldChar w:fldCharType="separate"/>
            </w:r>
            <w:r w:rsidR="00D87785">
              <w:rPr>
                <w:noProof/>
                <w:webHidden/>
              </w:rPr>
              <w:t>4</w:t>
            </w:r>
            <w:r w:rsidR="002F626A">
              <w:rPr>
                <w:noProof/>
                <w:webHidden/>
              </w:rPr>
              <w:fldChar w:fldCharType="end"/>
            </w:r>
          </w:hyperlink>
        </w:p>
        <w:p w14:paraId="426D0196" w14:textId="6B1D903B" w:rsidR="002F626A" w:rsidRDefault="002F626A">
          <w:pPr>
            <w:pStyle w:val="Verzeichnis1"/>
            <w:rPr>
              <w:rFonts w:asciiTheme="minorHAnsi" w:eastAsiaTheme="minorEastAsia" w:hAnsiTheme="minorHAnsi" w:cstheme="minorBidi"/>
              <w:b w:val="0"/>
              <w:noProof/>
              <w:sz w:val="22"/>
              <w:szCs w:val="22"/>
              <w:lang w:val="de-DE" w:eastAsia="de-DE"/>
            </w:rPr>
          </w:pPr>
          <w:hyperlink w:anchor="_Toc196688404" w:history="1">
            <w:r w:rsidRPr="009F20FA">
              <w:rPr>
                <w:rStyle w:val="Hyperlink"/>
                <w:noProof/>
              </w:rPr>
              <w:t>2.</w:t>
            </w:r>
            <w:r>
              <w:rPr>
                <w:rFonts w:asciiTheme="minorHAnsi" w:eastAsiaTheme="minorEastAsia" w:hAnsiTheme="minorHAnsi" w:cstheme="minorBidi"/>
                <w:b w:val="0"/>
                <w:noProof/>
                <w:sz w:val="22"/>
                <w:szCs w:val="22"/>
                <w:lang w:val="de-DE" w:eastAsia="de-DE"/>
              </w:rPr>
              <w:tab/>
            </w:r>
            <w:r w:rsidRPr="009F20FA">
              <w:rPr>
                <w:rStyle w:val="Hyperlink"/>
                <w:noProof/>
              </w:rPr>
              <w:t>Introduction and overview of activities</w:t>
            </w:r>
            <w:r>
              <w:rPr>
                <w:noProof/>
                <w:webHidden/>
              </w:rPr>
              <w:tab/>
            </w:r>
            <w:r>
              <w:rPr>
                <w:noProof/>
                <w:webHidden/>
              </w:rPr>
              <w:fldChar w:fldCharType="begin"/>
            </w:r>
            <w:r>
              <w:rPr>
                <w:noProof/>
                <w:webHidden/>
              </w:rPr>
              <w:instrText xml:space="preserve"> PAGEREF _Toc196688404 \h </w:instrText>
            </w:r>
            <w:r>
              <w:rPr>
                <w:noProof/>
                <w:webHidden/>
              </w:rPr>
            </w:r>
            <w:r>
              <w:rPr>
                <w:noProof/>
                <w:webHidden/>
              </w:rPr>
              <w:fldChar w:fldCharType="separate"/>
            </w:r>
            <w:r w:rsidR="00D87785">
              <w:rPr>
                <w:noProof/>
                <w:webHidden/>
              </w:rPr>
              <w:t>5</w:t>
            </w:r>
            <w:r>
              <w:rPr>
                <w:noProof/>
                <w:webHidden/>
              </w:rPr>
              <w:fldChar w:fldCharType="end"/>
            </w:r>
          </w:hyperlink>
        </w:p>
        <w:p w14:paraId="6AE2B05B" w14:textId="058C9FB8" w:rsidR="002F626A" w:rsidRDefault="002F626A">
          <w:pPr>
            <w:pStyle w:val="Verzeichnis1"/>
            <w:rPr>
              <w:rFonts w:asciiTheme="minorHAnsi" w:eastAsiaTheme="minorEastAsia" w:hAnsiTheme="minorHAnsi" w:cstheme="minorBidi"/>
              <w:b w:val="0"/>
              <w:noProof/>
              <w:sz w:val="22"/>
              <w:szCs w:val="22"/>
              <w:lang w:val="de-DE" w:eastAsia="de-DE"/>
            </w:rPr>
          </w:pPr>
          <w:hyperlink w:anchor="_Toc196688408" w:history="1">
            <w:r w:rsidRPr="009F20FA">
              <w:rPr>
                <w:rStyle w:val="Hyperlink"/>
                <w:noProof/>
              </w:rPr>
              <w:t>3.</w:t>
            </w:r>
            <w:r>
              <w:rPr>
                <w:rFonts w:asciiTheme="minorHAnsi" w:eastAsiaTheme="minorEastAsia" w:hAnsiTheme="minorHAnsi" w:cstheme="minorBidi"/>
                <w:b w:val="0"/>
                <w:noProof/>
                <w:sz w:val="22"/>
                <w:szCs w:val="22"/>
                <w:lang w:val="de-DE" w:eastAsia="de-DE"/>
              </w:rPr>
              <w:tab/>
            </w:r>
            <w:r w:rsidRPr="009F20FA">
              <w:rPr>
                <w:rStyle w:val="Hyperlink"/>
                <w:noProof/>
              </w:rPr>
              <w:t xml:space="preserve">Overview of activities and outcomes of collaborative efforts towards building an inventory of critical needs for bridging the gap between </w:t>
            </w:r>
            <w:r w:rsidRPr="009F20FA">
              <w:rPr>
                <w:rStyle w:val="Hyperlink"/>
                <w:i/>
                <w:noProof/>
              </w:rPr>
              <w:t>in vitro</w:t>
            </w:r>
            <w:r w:rsidRPr="009F20FA">
              <w:rPr>
                <w:rStyle w:val="Hyperlink"/>
                <w:noProof/>
              </w:rPr>
              <w:t xml:space="preserve"> and </w:t>
            </w:r>
            <w:r w:rsidRPr="009F20FA">
              <w:rPr>
                <w:rStyle w:val="Hyperlink"/>
                <w:i/>
                <w:noProof/>
              </w:rPr>
              <w:t>in vivo</w:t>
            </w:r>
            <w:r w:rsidRPr="009F20FA">
              <w:rPr>
                <w:rStyle w:val="Hyperlink"/>
                <w:noProof/>
              </w:rPr>
              <w:t xml:space="preserve"> G2P research</w:t>
            </w:r>
            <w:r>
              <w:rPr>
                <w:noProof/>
                <w:webHidden/>
              </w:rPr>
              <w:tab/>
            </w:r>
            <w:r>
              <w:rPr>
                <w:noProof/>
                <w:webHidden/>
              </w:rPr>
              <w:fldChar w:fldCharType="begin"/>
            </w:r>
            <w:r>
              <w:rPr>
                <w:noProof/>
                <w:webHidden/>
              </w:rPr>
              <w:instrText xml:space="preserve"> PAGEREF _Toc196688408 \h </w:instrText>
            </w:r>
            <w:r>
              <w:rPr>
                <w:noProof/>
                <w:webHidden/>
              </w:rPr>
            </w:r>
            <w:r>
              <w:rPr>
                <w:noProof/>
                <w:webHidden/>
              </w:rPr>
              <w:fldChar w:fldCharType="separate"/>
            </w:r>
            <w:r w:rsidR="00D87785">
              <w:rPr>
                <w:noProof/>
                <w:webHidden/>
              </w:rPr>
              <w:t>7</w:t>
            </w:r>
            <w:r>
              <w:rPr>
                <w:noProof/>
                <w:webHidden/>
              </w:rPr>
              <w:fldChar w:fldCharType="end"/>
            </w:r>
          </w:hyperlink>
        </w:p>
        <w:p w14:paraId="15947D3C" w14:textId="7ED80592" w:rsidR="002F626A" w:rsidRDefault="002F626A">
          <w:pPr>
            <w:pStyle w:val="Verzeichnis2"/>
            <w:rPr>
              <w:rFonts w:asciiTheme="minorHAnsi" w:eastAsiaTheme="minorEastAsia" w:hAnsiTheme="minorHAnsi" w:cstheme="minorBidi"/>
              <w:noProof/>
              <w:sz w:val="22"/>
              <w:szCs w:val="22"/>
              <w:lang w:val="de-DE" w:eastAsia="de-DE"/>
            </w:rPr>
          </w:pPr>
          <w:hyperlink w:anchor="_Toc196688409" w:history="1">
            <w:r w:rsidRPr="009F20FA">
              <w:rPr>
                <w:rStyle w:val="Hyperlink"/>
                <w:noProof/>
              </w:rPr>
              <w:t>3.1 Workshop “</w:t>
            </w:r>
            <w:r w:rsidRPr="009F20FA">
              <w:rPr>
                <w:rStyle w:val="Hyperlink"/>
                <w:noProof/>
                <w:lang w:val="en-US"/>
              </w:rPr>
              <w:t xml:space="preserve">Bridging the Gap Between </w:t>
            </w:r>
            <w:r w:rsidRPr="009F20FA">
              <w:rPr>
                <w:rStyle w:val="Hyperlink"/>
                <w:i/>
                <w:noProof/>
                <w:lang w:val="en-US"/>
              </w:rPr>
              <w:t>In Vitro</w:t>
            </w:r>
            <w:r w:rsidRPr="009F20FA">
              <w:rPr>
                <w:rStyle w:val="Hyperlink"/>
                <w:noProof/>
                <w:lang w:val="en-US"/>
              </w:rPr>
              <w:t xml:space="preserve"> and </w:t>
            </w:r>
            <w:r w:rsidRPr="009F20FA">
              <w:rPr>
                <w:rStyle w:val="Hyperlink"/>
                <w:i/>
                <w:noProof/>
                <w:lang w:val="en-US"/>
              </w:rPr>
              <w:t>In Vivo</w:t>
            </w:r>
            <w:r w:rsidRPr="009F20FA">
              <w:rPr>
                <w:rStyle w:val="Hyperlink"/>
                <w:noProof/>
                <w:lang w:val="en-US"/>
              </w:rPr>
              <w:t xml:space="preserve"> G2P Research”</w:t>
            </w:r>
            <w:r>
              <w:rPr>
                <w:noProof/>
                <w:webHidden/>
              </w:rPr>
              <w:tab/>
            </w:r>
            <w:r>
              <w:rPr>
                <w:noProof/>
                <w:webHidden/>
              </w:rPr>
              <w:fldChar w:fldCharType="begin"/>
            </w:r>
            <w:r>
              <w:rPr>
                <w:noProof/>
                <w:webHidden/>
              </w:rPr>
              <w:instrText xml:space="preserve"> PAGEREF _Toc196688409 \h </w:instrText>
            </w:r>
            <w:r>
              <w:rPr>
                <w:noProof/>
                <w:webHidden/>
              </w:rPr>
            </w:r>
            <w:r>
              <w:rPr>
                <w:noProof/>
                <w:webHidden/>
              </w:rPr>
              <w:fldChar w:fldCharType="separate"/>
            </w:r>
            <w:r w:rsidR="00D87785">
              <w:rPr>
                <w:noProof/>
                <w:webHidden/>
              </w:rPr>
              <w:t>7</w:t>
            </w:r>
            <w:r>
              <w:rPr>
                <w:noProof/>
                <w:webHidden/>
              </w:rPr>
              <w:fldChar w:fldCharType="end"/>
            </w:r>
          </w:hyperlink>
        </w:p>
        <w:p w14:paraId="7C95291B" w14:textId="405AA6ED"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0" w:history="1">
            <w:r w:rsidRPr="009F20FA">
              <w:rPr>
                <w:rStyle w:val="Hyperlink"/>
                <w:noProof/>
              </w:rPr>
              <w:t>3.1.1 Foundational meeting</w:t>
            </w:r>
            <w:r>
              <w:rPr>
                <w:noProof/>
                <w:webHidden/>
              </w:rPr>
              <w:tab/>
            </w:r>
            <w:r>
              <w:rPr>
                <w:noProof/>
                <w:webHidden/>
              </w:rPr>
              <w:fldChar w:fldCharType="begin"/>
            </w:r>
            <w:r>
              <w:rPr>
                <w:noProof/>
                <w:webHidden/>
              </w:rPr>
              <w:instrText xml:space="preserve"> PAGEREF _Toc196688410 \h </w:instrText>
            </w:r>
            <w:r>
              <w:rPr>
                <w:noProof/>
                <w:webHidden/>
              </w:rPr>
            </w:r>
            <w:r>
              <w:rPr>
                <w:noProof/>
                <w:webHidden/>
              </w:rPr>
              <w:fldChar w:fldCharType="separate"/>
            </w:r>
            <w:r w:rsidR="00D87785">
              <w:rPr>
                <w:noProof/>
                <w:webHidden/>
              </w:rPr>
              <w:t>7</w:t>
            </w:r>
            <w:r>
              <w:rPr>
                <w:noProof/>
                <w:webHidden/>
              </w:rPr>
              <w:fldChar w:fldCharType="end"/>
            </w:r>
          </w:hyperlink>
        </w:p>
        <w:p w14:paraId="0156E780" w14:textId="70C2B9B9"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1" w:history="1">
            <w:r w:rsidRPr="009F20FA">
              <w:rPr>
                <w:rStyle w:val="Hyperlink"/>
                <w:noProof/>
              </w:rPr>
              <w:t>3.1.2 Workshop concept</w:t>
            </w:r>
            <w:r>
              <w:rPr>
                <w:noProof/>
                <w:webHidden/>
              </w:rPr>
              <w:tab/>
            </w:r>
            <w:r>
              <w:rPr>
                <w:noProof/>
                <w:webHidden/>
              </w:rPr>
              <w:fldChar w:fldCharType="begin"/>
            </w:r>
            <w:r>
              <w:rPr>
                <w:noProof/>
                <w:webHidden/>
              </w:rPr>
              <w:instrText xml:space="preserve"> PAGEREF _Toc196688411 \h </w:instrText>
            </w:r>
            <w:r>
              <w:rPr>
                <w:noProof/>
                <w:webHidden/>
              </w:rPr>
            </w:r>
            <w:r>
              <w:rPr>
                <w:noProof/>
                <w:webHidden/>
              </w:rPr>
              <w:fldChar w:fldCharType="separate"/>
            </w:r>
            <w:r w:rsidR="00D87785">
              <w:rPr>
                <w:noProof/>
                <w:webHidden/>
              </w:rPr>
              <w:t>7</w:t>
            </w:r>
            <w:r>
              <w:rPr>
                <w:noProof/>
                <w:webHidden/>
              </w:rPr>
              <w:fldChar w:fldCharType="end"/>
            </w:r>
          </w:hyperlink>
        </w:p>
        <w:p w14:paraId="7DFBC22F" w14:textId="795BD00F"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2" w:history="1">
            <w:r w:rsidRPr="009F20FA">
              <w:rPr>
                <w:rStyle w:val="Hyperlink"/>
                <w:noProof/>
              </w:rPr>
              <w:t xml:space="preserve">3.1.3 Workshop outcomes: Current status, future goals, and pathways forward for the application of </w:t>
            </w:r>
            <w:r w:rsidRPr="009F20FA">
              <w:rPr>
                <w:rStyle w:val="Hyperlink"/>
                <w:i/>
                <w:noProof/>
              </w:rPr>
              <w:t>in vitro</w:t>
            </w:r>
            <w:r w:rsidRPr="009F20FA">
              <w:rPr>
                <w:rStyle w:val="Hyperlink"/>
                <w:noProof/>
              </w:rPr>
              <w:t xml:space="preserve"> models in G2P research toward transferability to </w:t>
            </w:r>
            <w:r w:rsidRPr="009F20FA">
              <w:rPr>
                <w:rStyle w:val="Hyperlink"/>
                <w:i/>
                <w:noProof/>
              </w:rPr>
              <w:t>in vivo</w:t>
            </w:r>
            <w:r>
              <w:rPr>
                <w:noProof/>
                <w:webHidden/>
              </w:rPr>
              <w:tab/>
            </w:r>
            <w:r>
              <w:rPr>
                <w:noProof/>
                <w:webHidden/>
              </w:rPr>
              <w:fldChar w:fldCharType="begin"/>
            </w:r>
            <w:r>
              <w:rPr>
                <w:noProof/>
                <w:webHidden/>
              </w:rPr>
              <w:instrText xml:space="preserve"> PAGEREF _Toc196688412 \h </w:instrText>
            </w:r>
            <w:r>
              <w:rPr>
                <w:noProof/>
                <w:webHidden/>
              </w:rPr>
            </w:r>
            <w:r>
              <w:rPr>
                <w:noProof/>
                <w:webHidden/>
              </w:rPr>
              <w:fldChar w:fldCharType="separate"/>
            </w:r>
            <w:r w:rsidR="00D87785">
              <w:rPr>
                <w:noProof/>
                <w:webHidden/>
              </w:rPr>
              <w:t>8</w:t>
            </w:r>
            <w:r>
              <w:rPr>
                <w:noProof/>
                <w:webHidden/>
              </w:rPr>
              <w:fldChar w:fldCharType="end"/>
            </w:r>
          </w:hyperlink>
        </w:p>
        <w:p w14:paraId="3E55771E" w14:textId="5249D858" w:rsidR="002F626A" w:rsidRDefault="002F626A">
          <w:pPr>
            <w:pStyle w:val="Verzeichnis2"/>
            <w:rPr>
              <w:rFonts w:asciiTheme="minorHAnsi" w:eastAsiaTheme="minorEastAsia" w:hAnsiTheme="minorHAnsi" w:cstheme="minorBidi"/>
              <w:noProof/>
              <w:sz w:val="22"/>
              <w:szCs w:val="22"/>
              <w:lang w:val="de-DE" w:eastAsia="de-DE"/>
            </w:rPr>
          </w:pPr>
          <w:hyperlink w:anchor="_Toc196688413" w:history="1">
            <w:r w:rsidRPr="009F20FA">
              <w:rPr>
                <w:rStyle w:val="Hyperlink"/>
                <w:noProof/>
              </w:rPr>
              <w:t>3.2 The workshop “G2P in a Dish” (lead: WP4)</w:t>
            </w:r>
            <w:r>
              <w:rPr>
                <w:noProof/>
                <w:webHidden/>
              </w:rPr>
              <w:tab/>
            </w:r>
            <w:r>
              <w:rPr>
                <w:noProof/>
                <w:webHidden/>
              </w:rPr>
              <w:fldChar w:fldCharType="begin"/>
            </w:r>
            <w:r>
              <w:rPr>
                <w:noProof/>
                <w:webHidden/>
              </w:rPr>
              <w:instrText xml:space="preserve"> PAGEREF _Toc196688413 \h </w:instrText>
            </w:r>
            <w:r>
              <w:rPr>
                <w:noProof/>
                <w:webHidden/>
              </w:rPr>
            </w:r>
            <w:r>
              <w:rPr>
                <w:noProof/>
                <w:webHidden/>
              </w:rPr>
              <w:fldChar w:fldCharType="separate"/>
            </w:r>
            <w:r w:rsidR="00D87785">
              <w:rPr>
                <w:noProof/>
                <w:webHidden/>
              </w:rPr>
              <w:t>10</w:t>
            </w:r>
            <w:r>
              <w:rPr>
                <w:noProof/>
                <w:webHidden/>
              </w:rPr>
              <w:fldChar w:fldCharType="end"/>
            </w:r>
          </w:hyperlink>
        </w:p>
        <w:p w14:paraId="6FC78A72" w14:textId="75FD7C69"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4" w:history="1">
            <w:r w:rsidRPr="009F20FA">
              <w:rPr>
                <w:rStyle w:val="Hyperlink"/>
                <w:noProof/>
              </w:rPr>
              <w:t>3.2.1 Workshop outcomes: Defining the paths to bridge the gap</w:t>
            </w:r>
            <w:r>
              <w:rPr>
                <w:noProof/>
                <w:webHidden/>
              </w:rPr>
              <w:tab/>
            </w:r>
            <w:r>
              <w:rPr>
                <w:noProof/>
                <w:webHidden/>
              </w:rPr>
              <w:fldChar w:fldCharType="begin"/>
            </w:r>
            <w:r>
              <w:rPr>
                <w:noProof/>
                <w:webHidden/>
              </w:rPr>
              <w:instrText xml:space="preserve"> PAGEREF _Toc196688414 \h </w:instrText>
            </w:r>
            <w:r>
              <w:rPr>
                <w:noProof/>
                <w:webHidden/>
              </w:rPr>
            </w:r>
            <w:r>
              <w:rPr>
                <w:noProof/>
                <w:webHidden/>
              </w:rPr>
              <w:fldChar w:fldCharType="separate"/>
            </w:r>
            <w:r w:rsidR="00D87785">
              <w:rPr>
                <w:noProof/>
                <w:webHidden/>
              </w:rPr>
              <w:t>10</w:t>
            </w:r>
            <w:r>
              <w:rPr>
                <w:noProof/>
                <w:webHidden/>
              </w:rPr>
              <w:fldChar w:fldCharType="end"/>
            </w:r>
          </w:hyperlink>
        </w:p>
        <w:p w14:paraId="55171B5E" w14:textId="189ABD2F" w:rsidR="002F626A" w:rsidRDefault="002F626A">
          <w:pPr>
            <w:pStyle w:val="Verzeichnis2"/>
            <w:rPr>
              <w:rFonts w:asciiTheme="minorHAnsi" w:eastAsiaTheme="minorEastAsia" w:hAnsiTheme="minorHAnsi" w:cstheme="minorBidi"/>
              <w:noProof/>
              <w:sz w:val="22"/>
              <w:szCs w:val="22"/>
              <w:lang w:val="de-DE" w:eastAsia="de-DE"/>
            </w:rPr>
          </w:pPr>
          <w:hyperlink w:anchor="_Toc196688415" w:history="1">
            <w:r w:rsidRPr="009F20FA">
              <w:rPr>
                <w:rStyle w:val="Hyperlink"/>
                <w:noProof/>
              </w:rPr>
              <w:t xml:space="preserve">3.3 Webinar “Bridging the Gap: Decoding Cell Talk </w:t>
            </w:r>
            <w:r w:rsidRPr="009F20FA">
              <w:rPr>
                <w:rStyle w:val="Hyperlink"/>
                <w:i/>
                <w:noProof/>
              </w:rPr>
              <w:t>In Vivo</w:t>
            </w:r>
            <w:r w:rsidRPr="009F20FA">
              <w:rPr>
                <w:rStyle w:val="Hyperlink"/>
                <w:noProof/>
              </w:rPr>
              <w:t xml:space="preserve"> to Build Better </w:t>
            </w:r>
            <w:r w:rsidRPr="009F20FA">
              <w:rPr>
                <w:rStyle w:val="Hyperlink"/>
                <w:i/>
                <w:noProof/>
              </w:rPr>
              <w:t xml:space="preserve">In Vitro </w:t>
            </w:r>
            <w:r w:rsidRPr="009F20FA">
              <w:rPr>
                <w:rStyle w:val="Hyperlink"/>
                <w:noProof/>
              </w:rPr>
              <w:t>Models”</w:t>
            </w:r>
            <w:r>
              <w:rPr>
                <w:noProof/>
                <w:webHidden/>
              </w:rPr>
              <w:tab/>
            </w:r>
            <w:r>
              <w:rPr>
                <w:noProof/>
                <w:webHidden/>
              </w:rPr>
              <w:fldChar w:fldCharType="begin"/>
            </w:r>
            <w:r>
              <w:rPr>
                <w:noProof/>
                <w:webHidden/>
              </w:rPr>
              <w:instrText xml:space="preserve"> PAGEREF _Toc196688415 \h </w:instrText>
            </w:r>
            <w:r>
              <w:rPr>
                <w:noProof/>
                <w:webHidden/>
              </w:rPr>
            </w:r>
            <w:r>
              <w:rPr>
                <w:noProof/>
                <w:webHidden/>
              </w:rPr>
              <w:fldChar w:fldCharType="separate"/>
            </w:r>
            <w:r w:rsidR="00D87785">
              <w:rPr>
                <w:noProof/>
                <w:webHidden/>
              </w:rPr>
              <w:t>12</w:t>
            </w:r>
            <w:r>
              <w:rPr>
                <w:noProof/>
                <w:webHidden/>
              </w:rPr>
              <w:fldChar w:fldCharType="end"/>
            </w:r>
          </w:hyperlink>
        </w:p>
        <w:p w14:paraId="7281CAF9" w14:textId="75B6ADC8" w:rsidR="002F626A" w:rsidRDefault="002F626A">
          <w:pPr>
            <w:pStyle w:val="Verzeichnis2"/>
            <w:rPr>
              <w:rFonts w:asciiTheme="minorHAnsi" w:eastAsiaTheme="minorEastAsia" w:hAnsiTheme="minorHAnsi" w:cstheme="minorBidi"/>
              <w:noProof/>
              <w:sz w:val="22"/>
              <w:szCs w:val="22"/>
              <w:lang w:val="de-DE" w:eastAsia="de-DE"/>
            </w:rPr>
          </w:pPr>
          <w:hyperlink w:anchor="_Toc196688416" w:history="1">
            <w:r w:rsidRPr="009F20FA">
              <w:rPr>
                <w:rStyle w:val="Hyperlink"/>
                <w:noProof/>
              </w:rPr>
              <w:t xml:space="preserve">3.4 Survey gathering input for an inventory of key assets to bridge the gap between </w:t>
            </w:r>
            <w:r w:rsidRPr="009F20FA">
              <w:rPr>
                <w:rStyle w:val="Hyperlink"/>
                <w:i/>
                <w:noProof/>
              </w:rPr>
              <w:t>in vitro</w:t>
            </w:r>
            <w:r w:rsidRPr="009F20FA">
              <w:rPr>
                <w:rStyle w:val="Hyperlink"/>
                <w:noProof/>
              </w:rPr>
              <w:t xml:space="preserve"> and </w:t>
            </w:r>
            <w:r w:rsidRPr="009F20FA">
              <w:rPr>
                <w:rStyle w:val="Hyperlink"/>
                <w:i/>
                <w:noProof/>
              </w:rPr>
              <w:t>in vivo</w:t>
            </w:r>
            <w:r w:rsidRPr="009F20FA">
              <w:rPr>
                <w:rStyle w:val="Hyperlink"/>
                <w:noProof/>
              </w:rPr>
              <w:t xml:space="preserve"> G2P research</w:t>
            </w:r>
            <w:r>
              <w:rPr>
                <w:noProof/>
                <w:webHidden/>
              </w:rPr>
              <w:tab/>
            </w:r>
            <w:r>
              <w:rPr>
                <w:noProof/>
                <w:webHidden/>
              </w:rPr>
              <w:fldChar w:fldCharType="begin"/>
            </w:r>
            <w:r>
              <w:rPr>
                <w:noProof/>
                <w:webHidden/>
              </w:rPr>
              <w:instrText xml:space="preserve"> PAGEREF _Toc196688416 \h </w:instrText>
            </w:r>
            <w:r>
              <w:rPr>
                <w:noProof/>
                <w:webHidden/>
              </w:rPr>
            </w:r>
            <w:r>
              <w:rPr>
                <w:noProof/>
                <w:webHidden/>
              </w:rPr>
              <w:fldChar w:fldCharType="separate"/>
            </w:r>
            <w:r w:rsidR="00D87785">
              <w:rPr>
                <w:noProof/>
                <w:webHidden/>
              </w:rPr>
              <w:t>12</w:t>
            </w:r>
            <w:r>
              <w:rPr>
                <w:noProof/>
                <w:webHidden/>
              </w:rPr>
              <w:fldChar w:fldCharType="end"/>
            </w:r>
          </w:hyperlink>
        </w:p>
        <w:p w14:paraId="7854ACE3" w14:textId="7C35D2E7"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7" w:history="1">
            <w:r w:rsidRPr="009F20FA">
              <w:rPr>
                <w:rStyle w:val="Hyperlink"/>
                <w:noProof/>
              </w:rPr>
              <w:t>3.4.1 Profile of the respondents</w:t>
            </w:r>
            <w:r>
              <w:rPr>
                <w:noProof/>
                <w:webHidden/>
              </w:rPr>
              <w:tab/>
            </w:r>
            <w:r>
              <w:rPr>
                <w:noProof/>
                <w:webHidden/>
              </w:rPr>
              <w:fldChar w:fldCharType="begin"/>
            </w:r>
            <w:r>
              <w:rPr>
                <w:noProof/>
                <w:webHidden/>
              </w:rPr>
              <w:instrText xml:space="preserve"> PAGEREF _Toc196688417 \h </w:instrText>
            </w:r>
            <w:r>
              <w:rPr>
                <w:noProof/>
                <w:webHidden/>
              </w:rPr>
            </w:r>
            <w:r>
              <w:rPr>
                <w:noProof/>
                <w:webHidden/>
              </w:rPr>
              <w:fldChar w:fldCharType="separate"/>
            </w:r>
            <w:r w:rsidR="00D87785">
              <w:rPr>
                <w:noProof/>
                <w:webHidden/>
              </w:rPr>
              <w:t>13</w:t>
            </w:r>
            <w:r>
              <w:rPr>
                <w:noProof/>
                <w:webHidden/>
              </w:rPr>
              <w:fldChar w:fldCharType="end"/>
            </w:r>
          </w:hyperlink>
        </w:p>
        <w:p w14:paraId="6379792C" w14:textId="37E8F4DC" w:rsidR="002F626A" w:rsidRDefault="002F626A" w:rsidP="00406614">
          <w:pPr>
            <w:pStyle w:val="Verzeichnis3"/>
            <w:rPr>
              <w:rFonts w:asciiTheme="minorHAnsi" w:eastAsiaTheme="minorEastAsia" w:hAnsiTheme="minorHAnsi" w:cstheme="minorBidi"/>
              <w:noProof/>
              <w:sz w:val="22"/>
              <w:szCs w:val="22"/>
              <w:lang w:val="de-DE" w:eastAsia="de-DE"/>
            </w:rPr>
          </w:pPr>
          <w:hyperlink w:anchor="_Toc196688418" w:history="1">
            <w:r w:rsidRPr="009F20FA">
              <w:rPr>
                <w:rStyle w:val="Hyperlink"/>
                <w:noProof/>
              </w:rPr>
              <w:t>3.4.2 Survey insights on available and required assets for the inventory</w:t>
            </w:r>
            <w:r>
              <w:rPr>
                <w:noProof/>
                <w:webHidden/>
              </w:rPr>
              <w:tab/>
            </w:r>
            <w:r>
              <w:rPr>
                <w:noProof/>
                <w:webHidden/>
              </w:rPr>
              <w:fldChar w:fldCharType="begin"/>
            </w:r>
            <w:r>
              <w:rPr>
                <w:noProof/>
                <w:webHidden/>
              </w:rPr>
              <w:instrText xml:space="preserve"> PAGEREF _Toc196688418 \h </w:instrText>
            </w:r>
            <w:r>
              <w:rPr>
                <w:noProof/>
                <w:webHidden/>
              </w:rPr>
            </w:r>
            <w:r>
              <w:rPr>
                <w:noProof/>
                <w:webHidden/>
              </w:rPr>
              <w:fldChar w:fldCharType="separate"/>
            </w:r>
            <w:r w:rsidR="00D87785">
              <w:rPr>
                <w:noProof/>
                <w:webHidden/>
              </w:rPr>
              <w:t>14</w:t>
            </w:r>
            <w:r>
              <w:rPr>
                <w:noProof/>
                <w:webHidden/>
              </w:rPr>
              <w:fldChar w:fldCharType="end"/>
            </w:r>
          </w:hyperlink>
        </w:p>
        <w:p w14:paraId="462A7ECD" w14:textId="7F066905" w:rsidR="002F626A" w:rsidRDefault="002F626A">
          <w:pPr>
            <w:pStyle w:val="Verzeichnis2"/>
            <w:rPr>
              <w:rFonts w:asciiTheme="minorHAnsi" w:eastAsiaTheme="minorEastAsia" w:hAnsiTheme="minorHAnsi" w:cstheme="minorBidi"/>
              <w:noProof/>
              <w:sz w:val="22"/>
              <w:szCs w:val="22"/>
              <w:lang w:val="de-DE" w:eastAsia="de-DE"/>
            </w:rPr>
          </w:pPr>
          <w:hyperlink w:anchor="_Toc196688419" w:history="1">
            <w:r w:rsidRPr="009F20FA">
              <w:rPr>
                <w:rStyle w:val="Hyperlink"/>
                <w:noProof/>
              </w:rPr>
              <w:t>3.5 Conclusions and Next Steps</w:t>
            </w:r>
            <w:r>
              <w:rPr>
                <w:noProof/>
                <w:webHidden/>
              </w:rPr>
              <w:tab/>
            </w:r>
            <w:r>
              <w:rPr>
                <w:noProof/>
                <w:webHidden/>
              </w:rPr>
              <w:fldChar w:fldCharType="begin"/>
            </w:r>
            <w:r>
              <w:rPr>
                <w:noProof/>
                <w:webHidden/>
              </w:rPr>
              <w:instrText xml:space="preserve"> PAGEREF _Toc196688419 \h </w:instrText>
            </w:r>
            <w:r>
              <w:rPr>
                <w:noProof/>
                <w:webHidden/>
              </w:rPr>
            </w:r>
            <w:r>
              <w:rPr>
                <w:noProof/>
                <w:webHidden/>
              </w:rPr>
              <w:fldChar w:fldCharType="separate"/>
            </w:r>
            <w:r w:rsidR="00D87785">
              <w:rPr>
                <w:noProof/>
                <w:webHidden/>
              </w:rPr>
              <w:t>17</w:t>
            </w:r>
            <w:r>
              <w:rPr>
                <w:noProof/>
                <w:webHidden/>
              </w:rPr>
              <w:fldChar w:fldCharType="end"/>
            </w:r>
          </w:hyperlink>
        </w:p>
        <w:p w14:paraId="674F54F0" w14:textId="33F7E180" w:rsidR="002F626A" w:rsidRDefault="002F626A">
          <w:pPr>
            <w:pStyle w:val="Verzeichnis1"/>
            <w:rPr>
              <w:rFonts w:asciiTheme="minorHAnsi" w:eastAsiaTheme="minorEastAsia" w:hAnsiTheme="minorHAnsi" w:cstheme="minorBidi"/>
              <w:b w:val="0"/>
              <w:noProof/>
              <w:sz w:val="22"/>
              <w:szCs w:val="22"/>
              <w:lang w:val="de-DE" w:eastAsia="de-DE"/>
            </w:rPr>
          </w:pPr>
          <w:hyperlink w:anchor="_Toc196688420" w:history="1">
            <w:r w:rsidRPr="009F20FA">
              <w:rPr>
                <w:rStyle w:val="Hyperlink"/>
                <w:noProof/>
              </w:rPr>
              <w:t>4. Annex</w:t>
            </w:r>
            <w:r>
              <w:rPr>
                <w:noProof/>
                <w:webHidden/>
              </w:rPr>
              <w:tab/>
            </w:r>
            <w:r>
              <w:rPr>
                <w:noProof/>
                <w:webHidden/>
              </w:rPr>
              <w:fldChar w:fldCharType="begin"/>
            </w:r>
            <w:r>
              <w:rPr>
                <w:noProof/>
                <w:webHidden/>
              </w:rPr>
              <w:instrText xml:space="preserve"> PAGEREF _Toc196688420 \h </w:instrText>
            </w:r>
            <w:r>
              <w:rPr>
                <w:noProof/>
                <w:webHidden/>
              </w:rPr>
            </w:r>
            <w:r>
              <w:rPr>
                <w:noProof/>
                <w:webHidden/>
              </w:rPr>
              <w:fldChar w:fldCharType="separate"/>
            </w:r>
            <w:r w:rsidR="00D87785">
              <w:rPr>
                <w:noProof/>
                <w:webHidden/>
              </w:rPr>
              <w:t>19</w:t>
            </w:r>
            <w:r>
              <w:rPr>
                <w:noProof/>
                <w:webHidden/>
              </w:rPr>
              <w:fldChar w:fldCharType="end"/>
            </w:r>
          </w:hyperlink>
        </w:p>
        <w:p w14:paraId="697A6C8D" w14:textId="4792A891" w:rsidR="002F626A" w:rsidRDefault="002F626A">
          <w:pPr>
            <w:pStyle w:val="Verzeichnis2"/>
            <w:rPr>
              <w:rFonts w:asciiTheme="minorHAnsi" w:eastAsiaTheme="minorEastAsia" w:hAnsiTheme="minorHAnsi" w:cstheme="minorBidi"/>
              <w:noProof/>
              <w:sz w:val="22"/>
              <w:szCs w:val="22"/>
              <w:lang w:val="de-DE" w:eastAsia="de-DE"/>
            </w:rPr>
          </w:pPr>
          <w:hyperlink w:anchor="_Toc196688421" w:history="1">
            <w:r w:rsidRPr="009F20FA">
              <w:rPr>
                <w:rStyle w:val="Hyperlink"/>
                <w:noProof/>
              </w:rPr>
              <w:t>4.1 Whiteboards capturing ideas that emerged during the workshop discussions</w:t>
            </w:r>
            <w:r>
              <w:rPr>
                <w:noProof/>
                <w:webHidden/>
              </w:rPr>
              <w:tab/>
            </w:r>
            <w:r>
              <w:rPr>
                <w:noProof/>
                <w:webHidden/>
              </w:rPr>
              <w:fldChar w:fldCharType="begin"/>
            </w:r>
            <w:r>
              <w:rPr>
                <w:noProof/>
                <w:webHidden/>
              </w:rPr>
              <w:instrText xml:space="preserve"> PAGEREF _Toc196688421 \h </w:instrText>
            </w:r>
            <w:r>
              <w:rPr>
                <w:noProof/>
                <w:webHidden/>
              </w:rPr>
            </w:r>
            <w:r>
              <w:rPr>
                <w:noProof/>
                <w:webHidden/>
              </w:rPr>
              <w:fldChar w:fldCharType="separate"/>
            </w:r>
            <w:r w:rsidR="00D87785">
              <w:rPr>
                <w:noProof/>
                <w:webHidden/>
              </w:rPr>
              <w:t>19</w:t>
            </w:r>
            <w:r>
              <w:rPr>
                <w:noProof/>
                <w:webHidden/>
              </w:rPr>
              <w:fldChar w:fldCharType="end"/>
            </w:r>
          </w:hyperlink>
        </w:p>
        <w:p w14:paraId="18A3569C" w14:textId="60599DF0" w:rsidR="002F626A" w:rsidRDefault="002F626A">
          <w:pPr>
            <w:pStyle w:val="Verzeichnis2"/>
            <w:rPr>
              <w:rFonts w:asciiTheme="minorHAnsi" w:eastAsiaTheme="minorEastAsia" w:hAnsiTheme="minorHAnsi" w:cstheme="minorBidi"/>
              <w:noProof/>
              <w:sz w:val="22"/>
              <w:szCs w:val="22"/>
              <w:lang w:val="de-DE" w:eastAsia="de-DE"/>
            </w:rPr>
          </w:pPr>
          <w:hyperlink w:anchor="_Toc196688422" w:history="1">
            <w:r w:rsidRPr="009F20FA">
              <w:rPr>
                <w:rStyle w:val="Hyperlink"/>
                <w:noProof/>
              </w:rPr>
              <w:t>4.2 Agenda of the G2P In a Dish workshop (3rd-7th February 2025, Jouy-en-Josas, France)</w:t>
            </w:r>
            <w:r>
              <w:rPr>
                <w:noProof/>
                <w:webHidden/>
              </w:rPr>
              <w:tab/>
            </w:r>
            <w:r>
              <w:rPr>
                <w:noProof/>
                <w:webHidden/>
              </w:rPr>
              <w:fldChar w:fldCharType="begin"/>
            </w:r>
            <w:r>
              <w:rPr>
                <w:noProof/>
                <w:webHidden/>
              </w:rPr>
              <w:instrText xml:space="preserve"> PAGEREF _Toc196688422 \h </w:instrText>
            </w:r>
            <w:r>
              <w:rPr>
                <w:noProof/>
                <w:webHidden/>
              </w:rPr>
            </w:r>
            <w:r>
              <w:rPr>
                <w:noProof/>
                <w:webHidden/>
              </w:rPr>
              <w:fldChar w:fldCharType="separate"/>
            </w:r>
            <w:r w:rsidR="00D87785">
              <w:rPr>
                <w:noProof/>
                <w:webHidden/>
              </w:rPr>
              <w:t>22</w:t>
            </w:r>
            <w:r>
              <w:rPr>
                <w:noProof/>
                <w:webHidden/>
              </w:rPr>
              <w:fldChar w:fldCharType="end"/>
            </w:r>
          </w:hyperlink>
        </w:p>
        <w:p w14:paraId="4D3E5C0A" w14:textId="690CE32A" w:rsidR="002F626A" w:rsidRDefault="002F626A">
          <w:pPr>
            <w:pStyle w:val="Verzeichnis2"/>
            <w:rPr>
              <w:rFonts w:asciiTheme="minorHAnsi" w:eastAsiaTheme="minorEastAsia" w:hAnsiTheme="minorHAnsi" w:cstheme="minorBidi"/>
              <w:noProof/>
              <w:sz w:val="22"/>
              <w:szCs w:val="22"/>
              <w:lang w:val="de-DE" w:eastAsia="de-DE"/>
            </w:rPr>
          </w:pPr>
          <w:hyperlink w:anchor="_Toc196688423" w:history="1">
            <w:r w:rsidRPr="009F20FA">
              <w:rPr>
                <w:rStyle w:val="Hyperlink"/>
                <w:noProof/>
              </w:rPr>
              <w:t>4.3 Updated survey form</w:t>
            </w:r>
            <w:r>
              <w:rPr>
                <w:noProof/>
                <w:webHidden/>
              </w:rPr>
              <w:tab/>
            </w:r>
            <w:r>
              <w:rPr>
                <w:noProof/>
                <w:webHidden/>
              </w:rPr>
              <w:fldChar w:fldCharType="begin"/>
            </w:r>
            <w:r>
              <w:rPr>
                <w:noProof/>
                <w:webHidden/>
              </w:rPr>
              <w:instrText xml:space="preserve"> PAGEREF _Toc196688423 \h </w:instrText>
            </w:r>
            <w:r>
              <w:rPr>
                <w:noProof/>
                <w:webHidden/>
              </w:rPr>
            </w:r>
            <w:r>
              <w:rPr>
                <w:noProof/>
                <w:webHidden/>
              </w:rPr>
              <w:fldChar w:fldCharType="separate"/>
            </w:r>
            <w:r w:rsidR="00D87785">
              <w:rPr>
                <w:noProof/>
                <w:webHidden/>
              </w:rPr>
              <w:t>28</w:t>
            </w:r>
            <w:r>
              <w:rPr>
                <w:noProof/>
                <w:webHidden/>
              </w:rPr>
              <w:fldChar w:fldCharType="end"/>
            </w:r>
          </w:hyperlink>
        </w:p>
        <w:p w14:paraId="6C5DBC67" w14:textId="3B576829" w:rsidR="002F626A" w:rsidRDefault="002F626A">
          <w:pPr>
            <w:pStyle w:val="Verzeichnis2"/>
            <w:rPr>
              <w:rFonts w:asciiTheme="minorHAnsi" w:eastAsiaTheme="minorEastAsia" w:hAnsiTheme="minorHAnsi" w:cstheme="minorBidi"/>
              <w:noProof/>
              <w:sz w:val="22"/>
              <w:szCs w:val="22"/>
              <w:lang w:val="de-DE" w:eastAsia="de-DE"/>
            </w:rPr>
          </w:pPr>
        </w:p>
        <w:p w14:paraId="7E4BD5A1" w14:textId="13872893" w:rsidR="007650DF" w:rsidRDefault="00626D0C" w:rsidP="00406614">
          <w:pPr>
            <w:pStyle w:val="Verzeichnis3"/>
            <w:rPr>
              <w:rFonts w:asciiTheme="minorHAnsi" w:eastAsiaTheme="minorEastAsia" w:hAnsiTheme="minorHAnsi" w:cstheme="minorBidi"/>
              <w:kern w:val="2"/>
              <w:sz w:val="24"/>
              <w:szCs w:val="24"/>
              <w14:ligatures w14:val="standardContextual"/>
            </w:rPr>
          </w:pPr>
          <w:r>
            <w:rPr>
              <w:rStyle w:val="Verzeichnissprung"/>
            </w:rPr>
            <w:fldChar w:fldCharType="end"/>
          </w:r>
        </w:p>
      </w:sdtContent>
    </w:sdt>
    <w:p w14:paraId="3E4F6BF6" w14:textId="2ECBD206" w:rsidR="009D4C62" w:rsidRDefault="009D4C62">
      <w:pPr>
        <w:spacing w:line="240" w:lineRule="auto"/>
        <w:rPr>
          <w:rFonts w:asciiTheme="minorHAnsi" w:eastAsiaTheme="minorEastAsia" w:hAnsiTheme="minorHAnsi" w:cstheme="minorBidi"/>
        </w:rPr>
      </w:pPr>
      <w:r>
        <w:rPr>
          <w:rFonts w:asciiTheme="minorHAnsi" w:eastAsiaTheme="minorEastAsia" w:hAnsiTheme="minorHAnsi" w:cstheme="minorBidi"/>
        </w:rPr>
        <w:br w:type="page"/>
      </w:r>
    </w:p>
    <w:p w14:paraId="07ED9A8E" w14:textId="77777777" w:rsidR="007650DF" w:rsidRPr="00D87785" w:rsidRDefault="00626D0C">
      <w:pPr>
        <w:pStyle w:val="berschrift1"/>
        <w:rPr>
          <w:szCs w:val="32"/>
        </w:rPr>
      </w:pPr>
      <w:bookmarkStart w:id="1" w:name="_Toc196688401"/>
      <w:bookmarkStart w:id="2" w:name="_Toc196688402"/>
      <w:bookmarkEnd w:id="1"/>
      <w:r w:rsidRPr="00D87785">
        <w:rPr>
          <w:szCs w:val="32"/>
        </w:rPr>
        <w:lastRenderedPageBreak/>
        <w:t>Executive Summary</w:t>
      </w:r>
      <w:bookmarkEnd w:id="2"/>
    </w:p>
    <w:tbl>
      <w:tblPr>
        <w:tblStyle w:val="Tabellenraster"/>
        <w:tblW w:w="8637" w:type="dxa"/>
        <w:tblLayout w:type="fixed"/>
        <w:tblLook w:val="04A0" w:firstRow="1" w:lastRow="0" w:firstColumn="1" w:lastColumn="0" w:noHBand="0" w:noVBand="1"/>
      </w:tblPr>
      <w:tblGrid>
        <w:gridCol w:w="2972"/>
        <w:gridCol w:w="5665"/>
      </w:tblGrid>
      <w:tr w:rsidR="007650DF" w:rsidRPr="00D87785" w14:paraId="2423BE66" w14:textId="77777777" w:rsidTr="00D87785">
        <w:tc>
          <w:tcPr>
            <w:tcW w:w="2972" w:type="dxa"/>
          </w:tcPr>
          <w:p w14:paraId="414EF96D" w14:textId="77777777" w:rsidR="007650DF" w:rsidRDefault="00626D0C">
            <w:pPr>
              <w:rPr>
                <w:rFonts w:asciiTheme="minorHAnsi" w:hAnsiTheme="minorHAnsi" w:cstheme="minorHAnsi"/>
                <w:color w:val="000000" w:themeColor="text1"/>
              </w:rPr>
            </w:pPr>
            <w:r>
              <w:rPr>
                <w:rFonts w:asciiTheme="minorHAnsi" w:hAnsiTheme="minorHAnsi" w:cstheme="minorHAnsi"/>
                <w:b/>
                <w:bCs/>
              </w:rPr>
              <w:t xml:space="preserve">Background </w:t>
            </w:r>
          </w:p>
        </w:tc>
        <w:tc>
          <w:tcPr>
            <w:tcW w:w="5665" w:type="dxa"/>
          </w:tcPr>
          <w:p w14:paraId="0DC39B26" w14:textId="096A5EC3" w:rsidR="007650DF" w:rsidRPr="00FF1E8E" w:rsidRDefault="00FF1E8E" w:rsidP="00D87785">
            <w:pPr>
              <w:jc w:val="both"/>
              <w:rPr>
                <w:rFonts w:asciiTheme="minorHAnsi" w:hAnsiTheme="minorHAnsi" w:cstheme="minorHAnsi"/>
                <w:lang w:val="en-US"/>
              </w:rPr>
            </w:pPr>
            <w:r w:rsidRPr="00FF1E8E">
              <w:rPr>
                <w:rFonts w:asciiTheme="minorHAnsi" w:hAnsiTheme="minorHAnsi" w:cstheme="minorHAnsi"/>
                <w:lang w:val="en-US"/>
              </w:rPr>
              <w:t xml:space="preserve">Besides contributing to the 3R principles in animal research, </w:t>
            </w:r>
            <w:r w:rsidRPr="00D87785">
              <w:rPr>
                <w:rFonts w:asciiTheme="minorHAnsi" w:hAnsiTheme="minorHAnsi" w:cstheme="minorHAnsi"/>
                <w:i/>
                <w:lang w:val="en-US"/>
              </w:rPr>
              <w:t xml:space="preserve">in vitro </w:t>
            </w:r>
            <w:r w:rsidRPr="00FF1E8E">
              <w:rPr>
                <w:rFonts w:asciiTheme="minorHAnsi" w:hAnsiTheme="minorHAnsi" w:cstheme="minorHAnsi"/>
                <w:lang w:val="en-US"/>
              </w:rPr>
              <w:t xml:space="preserve">G2P research complements </w:t>
            </w:r>
            <w:r w:rsidRPr="00D87785">
              <w:rPr>
                <w:rFonts w:asciiTheme="minorHAnsi" w:hAnsiTheme="minorHAnsi" w:cstheme="minorHAnsi"/>
                <w:i/>
                <w:lang w:val="en-US"/>
              </w:rPr>
              <w:t>in vivo</w:t>
            </w:r>
            <w:r w:rsidRPr="00FF1E8E">
              <w:rPr>
                <w:rFonts w:asciiTheme="minorHAnsi" w:hAnsiTheme="minorHAnsi" w:cstheme="minorHAnsi"/>
                <w:lang w:val="en-US"/>
              </w:rPr>
              <w:t xml:space="preserve"> G2P research in many important aspects. </w:t>
            </w:r>
            <w:r w:rsidRPr="00D87785">
              <w:rPr>
                <w:rFonts w:asciiTheme="minorHAnsi" w:hAnsiTheme="minorHAnsi" w:cstheme="minorHAnsi"/>
                <w:i/>
                <w:lang w:val="en-US"/>
              </w:rPr>
              <w:t>In vitro</w:t>
            </w:r>
            <w:r w:rsidRPr="00FF1E8E">
              <w:rPr>
                <w:rFonts w:asciiTheme="minorHAnsi" w:hAnsiTheme="minorHAnsi" w:cstheme="minorHAnsi"/>
                <w:lang w:val="en-US"/>
              </w:rPr>
              <w:t xml:space="preserve"> models not only avoid ethical concerns, such as stressful perturbations to animals during procedures like immune challenges (highly relevant to the Farm-to-Fork strategy), but also, due to their well-controlled conditions, allow researchers to address biologically targeted questions that are difficult to tackle at the whole-organism level. However, these differences between cellular </w:t>
            </w:r>
            <w:r w:rsidRPr="00D87785">
              <w:rPr>
                <w:rFonts w:asciiTheme="minorHAnsi" w:hAnsiTheme="minorHAnsi" w:cstheme="minorHAnsi"/>
                <w:i/>
                <w:lang w:val="en-US"/>
              </w:rPr>
              <w:t>in vitro</w:t>
            </w:r>
            <w:r w:rsidRPr="00FF1E8E">
              <w:rPr>
                <w:rFonts w:asciiTheme="minorHAnsi" w:hAnsiTheme="minorHAnsi" w:cstheme="minorHAnsi"/>
                <w:lang w:val="en-US"/>
              </w:rPr>
              <w:t xml:space="preserve"> and organismal </w:t>
            </w:r>
            <w:r w:rsidRPr="00D87785">
              <w:rPr>
                <w:rFonts w:asciiTheme="minorHAnsi" w:hAnsiTheme="minorHAnsi" w:cstheme="minorHAnsi"/>
                <w:i/>
                <w:lang w:val="en-US"/>
              </w:rPr>
              <w:t xml:space="preserve">in vivo </w:t>
            </w:r>
            <w:r w:rsidRPr="00FF1E8E">
              <w:rPr>
                <w:rFonts w:asciiTheme="minorHAnsi" w:hAnsiTheme="minorHAnsi" w:cstheme="minorHAnsi"/>
                <w:lang w:val="en-US"/>
              </w:rPr>
              <w:t>environments also represent the main hurdle in translating findings across the two systems. E</w:t>
            </w:r>
            <w:r>
              <w:rPr>
                <w:rFonts w:asciiTheme="minorHAnsi" w:hAnsiTheme="minorHAnsi" w:cstheme="minorHAnsi"/>
                <w:lang w:val="en-US"/>
              </w:rPr>
              <w:t>uroFAANG</w:t>
            </w:r>
            <w:r w:rsidRPr="00FF1E8E">
              <w:rPr>
                <w:rFonts w:asciiTheme="minorHAnsi" w:hAnsiTheme="minorHAnsi" w:cstheme="minorHAnsi"/>
                <w:lang w:val="en-US"/>
              </w:rPr>
              <w:t xml:space="preserve"> RI seeks to promote the use of cellular models for G2P research, aiming to strengthen the connection between these two approaches and provide solutions to bridge the existing gap.</w:t>
            </w:r>
          </w:p>
        </w:tc>
      </w:tr>
      <w:tr w:rsidR="007650DF" w:rsidRPr="00D87785" w14:paraId="244E4C62" w14:textId="77777777" w:rsidTr="00D87785">
        <w:tc>
          <w:tcPr>
            <w:tcW w:w="2972" w:type="dxa"/>
          </w:tcPr>
          <w:p w14:paraId="0A4C0E5F" w14:textId="77777777" w:rsidR="007650DF" w:rsidRDefault="00626D0C">
            <w:pPr>
              <w:rPr>
                <w:rFonts w:asciiTheme="minorHAnsi" w:hAnsiTheme="minorHAnsi" w:cstheme="minorHAnsi"/>
                <w:color w:val="000000" w:themeColor="text1"/>
              </w:rPr>
            </w:pPr>
            <w:r>
              <w:rPr>
                <w:rFonts w:asciiTheme="minorHAnsi" w:hAnsiTheme="minorHAnsi" w:cstheme="minorHAnsi"/>
                <w:b/>
                <w:bCs/>
              </w:rPr>
              <w:t>Objectives</w:t>
            </w:r>
          </w:p>
        </w:tc>
        <w:tc>
          <w:tcPr>
            <w:tcW w:w="5665" w:type="dxa"/>
          </w:tcPr>
          <w:p w14:paraId="22D018A6" w14:textId="4C73A09C" w:rsidR="007650DF" w:rsidRPr="00FF1E8E" w:rsidRDefault="00FF1E8E" w:rsidP="00D87785">
            <w:pPr>
              <w:jc w:val="both"/>
              <w:rPr>
                <w:rFonts w:asciiTheme="minorHAnsi" w:hAnsiTheme="minorHAnsi" w:cstheme="minorHAnsi"/>
                <w:color w:val="000000" w:themeColor="text1"/>
                <w:lang w:val="en-US"/>
              </w:rPr>
            </w:pPr>
            <w:r w:rsidRPr="00D87785">
              <w:rPr>
                <w:rFonts w:asciiTheme="minorHAnsi" w:hAnsiTheme="minorHAnsi" w:cstheme="minorHAnsi"/>
                <w:lang w:val="en-US"/>
              </w:rPr>
              <w:t xml:space="preserve">The objective of this task was to identify key challenges and to develop an inventory of solutions to bridge the gap between G2P research conducted at the cellular level </w:t>
            </w:r>
            <w:r w:rsidRPr="00D87785">
              <w:rPr>
                <w:rFonts w:asciiTheme="minorHAnsi" w:hAnsiTheme="minorHAnsi" w:cstheme="minorHAnsi"/>
                <w:i/>
                <w:lang w:val="en-US"/>
              </w:rPr>
              <w:t>in vitro</w:t>
            </w:r>
            <w:r w:rsidRPr="00D87785">
              <w:rPr>
                <w:rFonts w:asciiTheme="minorHAnsi" w:hAnsiTheme="minorHAnsi" w:cstheme="minorHAnsi"/>
                <w:lang w:val="en-US"/>
              </w:rPr>
              <w:t xml:space="preserve"> and at the organismal level </w:t>
            </w:r>
            <w:r w:rsidRPr="00D87785">
              <w:rPr>
                <w:rFonts w:asciiTheme="minorHAnsi" w:hAnsiTheme="minorHAnsi" w:cstheme="minorHAnsi"/>
                <w:i/>
                <w:lang w:val="en-US"/>
              </w:rPr>
              <w:t>in vivo</w:t>
            </w:r>
          </w:p>
        </w:tc>
      </w:tr>
      <w:tr w:rsidR="007650DF" w:rsidRPr="00D87785" w14:paraId="27237835" w14:textId="77777777" w:rsidTr="00D87785">
        <w:tc>
          <w:tcPr>
            <w:tcW w:w="2972" w:type="dxa"/>
          </w:tcPr>
          <w:p w14:paraId="6AD5084B" w14:textId="77777777" w:rsidR="007650DF" w:rsidRDefault="00626D0C">
            <w:pPr>
              <w:rPr>
                <w:rFonts w:asciiTheme="minorHAnsi" w:hAnsiTheme="minorHAnsi" w:cstheme="minorHAnsi"/>
                <w:color w:val="000000" w:themeColor="text1"/>
                <w:lang w:val="en-US"/>
              </w:rPr>
            </w:pPr>
            <w:r>
              <w:rPr>
                <w:rFonts w:asciiTheme="minorHAnsi" w:hAnsiTheme="minorHAnsi" w:cstheme="minorHAnsi"/>
                <w:b/>
                <w:bCs/>
                <w:lang w:val="en-US"/>
              </w:rPr>
              <w:t>Methods</w:t>
            </w:r>
          </w:p>
        </w:tc>
        <w:tc>
          <w:tcPr>
            <w:tcW w:w="5665" w:type="dxa"/>
          </w:tcPr>
          <w:p w14:paraId="09AC0409" w14:textId="4A8CD75A" w:rsidR="007650DF" w:rsidRPr="00FF1E8E" w:rsidRDefault="00FF1E8E" w:rsidP="00D87785">
            <w:pPr>
              <w:jc w:val="both"/>
              <w:rPr>
                <w:rFonts w:asciiTheme="minorHAnsi" w:hAnsiTheme="minorHAnsi" w:cstheme="minorHAnsi"/>
                <w:color w:val="000000" w:themeColor="text1"/>
                <w:lang w:val="en-US"/>
              </w:rPr>
            </w:pPr>
            <w:r w:rsidRPr="00D87785">
              <w:rPr>
                <w:rFonts w:asciiTheme="minorHAnsi" w:hAnsiTheme="minorHAnsi" w:cstheme="minorHAnsi"/>
                <w:lang w:val="en-US"/>
              </w:rPr>
              <w:t>To develop the inventory, we engaged with the community through a dedicated workshop, roundtable discussions during the "G2P in a Dish" workshop organized by WP4, and a targete</w:t>
            </w:r>
            <w:r>
              <w:rPr>
                <w:rFonts w:asciiTheme="minorHAnsi" w:hAnsiTheme="minorHAnsi" w:cstheme="minorHAnsi"/>
                <w:lang w:val="en-US"/>
              </w:rPr>
              <w:t>d survey. In addition, we host</w:t>
            </w:r>
            <w:r w:rsidRPr="00D87785">
              <w:rPr>
                <w:rFonts w:asciiTheme="minorHAnsi" w:hAnsiTheme="minorHAnsi" w:cstheme="minorHAnsi"/>
                <w:lang w:val="en-US"/>
              </w:rPr>
              <w:t xml:space="preserve"> a webinar featuring a world-leading expert in cellular genetics to explore novel approaches.</w:t>
            </w:r>
          </w:p>
        </w:tc>
      </w:tr>
      <w:tr w:rsidR="007650DF" w:rsidRPr="00D87785" w14:paraId="6FE54036" w14:textId="77777777" w:rsidTr="00D87785">
        <w:tc>
          <w:tcPr>
            <w:tcW w:w="2972" w:type="dxa"/>
          </w:tcPr>
          <w:p w14:paraId="16C73FCE" w14:textId="77777777" w:rsidR="007650DF" w:rsidRDefault="00626D0C">
            <w:pPr>
              <w:rPr>
                <w:rFonts w:asciiTheme="minorHAnsi" w:hAnsiTheme="minorHAnsi" w:cstheme="minorHAnsi"/>
                <w:color w:val="000000" w:themeColor="text1"/>
              </w:rPr>
            </w:pPr>
            <w:r>
              <w:rPr>
                <w:rFonts w:asciiTheme="minorHAnsi" w:hAnsiTheme="minorHAnsi" w:cstheme="minorHAnsi"/>
                <w:b/>
                <w:bCs/>
                <w:lang w:val="en-US"/>
              </w:rPr>
              <w:t xml:space="preserve">Results </w:t>
            </w:r>
            <w:r>
              <w:rPr>
                <w:rFonts w:asciiTheme="minorHAnsi" w:hAnsiTheme="minorHAnsi" w:cstheme="minorHAnsi"/>
                <w:b/>
                <w:bCs/>
                <w:lang w:val="en-US"/>
              </w:rPr>
              <w:br/>
              <w:t xml:space="preserve">&amp; implications </w:t>
            </w:r>
          </w:p>
        </w:tc>
        <w:tc>
          <w:tcPr>
            <w:tcW w:w="5665" w:type="dxa"/>
          </w:tcPr>
          <w:p w14:paraId="74E77E4D" w14:textId="23F70DFA" w:rsidR="007650DF" w:rsidRPr="00FF1E8E" w:rsidRDefault="00FF1E8E" w:rsidP="00D87785">
            <w:pPr>
              <w:jc w:val="both"/>
              <w:rPr>
                <w:rFonts w:asciiTheme="minorHAnsi" w:hAnsiTheme="minorHAnsi" w:cstheme="minorHAnsi"/>
                <w:color w:val="000000" w:themeColor="text1"/>
                <w:lang w:val="en-US"/>
              </w:rPr>
            </w:pPr>
            <w:r w:rsidRPr="00D87785">
              <w:rPr>
                <w:rFonts w:asciiTheme="minorHAnsi" w:hAnsiTheme="minorHAnsi" w:cstheme="minorHAnsi"/>
                <w:lang w:val="en-US"/>
              </w:rPr>
              <w:t xml:space="preserve">Bridging the </w:t>
            </w:r>
            <w:r w:rsidRPr="00D87785">
              <w:rPr>
                <w:rFonts w:asciiTheme="minorHAnsi" w:hAnsiTheme="minorHAnsi" w:cstheme="minorHAnsi"/>
                <w:i/>
                <w:lang w:val="en-US"/>
              </w:rPr>
              <w:t>in vitro–in vivo</w:t>
            </w:r>
            <w:r w:rsidRPr="00D87785">
              <w:rPr>
                <w:rFonts w:asciiTheme="minorHAnsi" w:hAnsiTheme="minorHAnsi" w:cstheme="minorHAnsi"/>
                <w:lang w:val="en-US"/>
              </w:rPr>
              <w:t xml:space="preserve"> gap remains a significant challenge that currently lacks coordinated efforts. Nevertheless, the inputs gathered through these activities enabled us to establish a strategic inventory of actions to guide stepwise progress, shaped by the current technological landscape. The main elements of the inventory include the continued development of </w:t>
            </w:r>
            <w:r w:rsidRPr="00D87785">
              <w:rPr>
                <w:rFonts w:asciiTheme="minorHAnsi" w:hAnsiTheme="minorHAnsi" w:cstheme="minorHAnsi"/>
                <w:i/>
                <w:lang w:val="en-US"/>
              </w:rPr>
              <w:t xml:space="preserve">in vitro </w:t>
            </w:r>
            <w:r w:rsidRPr="00D87785">
              <w:rPr>
                <w:rFonts w:asciiTheme="minorHAnsi" w:hAnsiTheme="minorHAnsi" w:cstheme="minorHAnsi"/>
                <w:lang w:val="en-US"/>
              </w:rPr>
              <w:t xml:space="preserve">cellular models, particularly of advanced systems that are still in the early stages of application in farm animal research, and the creation and dissemination of standardized protocols. A broader adoption of single-cell omics across the community is also crucial, as it is essential for gaining a deeper understanding of </w:t>
            </w:r>
            <w:r w:rsidRPr="00D87785">
              <w:rPr>
                <w:rFonts w:asciiTheme="minorHAnsi" w:hAnsiTheme="minorHAnsi" w:cstheme="minorHAnsi"/>
                <w:i/>
                <w:lang w:val="en-US"/>
              </w:rPr>
              <w:t>in vivo</w:t>
            </w:r>
            <w:r w:rsidRPr="00D87785">
              <w:rPr>
                <w:rFonts w:asciiTheme="minorHAnsi" w:hAnsiTheme="minorHAnsi" w:cstheme="minorHAnsi"/>
                <w:lang w:val="en-US"/>
              </w:rPr>
              <w:t xml:space="preserve"> biology, </w:t>
            </w:r>
            <w:r w:rsidR="00DB3621">
              <w:rPr>
                <w:rFonts w:asciiTheme="minorHAnsi" w:hAnsiTheme="minorHAnsi" w:cstheme="minorHAnsi"/>
                <w:lang w:val="en-US"/>
              </w:rPr>
              <w:t xml:space="preserve">useful for </w:t>
            </w:r>
            <w:r w:rsidRPr="00D87785">
              <w:rPr>
                <w:rFonts w:asciiTheme="minorHAnsi" w:hAnsiTheme="minorHAnsi" w:cstheme="minorHAnsi"/>
                <w:lang w:val="en-US"/>
              </w:rPr>
              <w:t xml:space="preserve">deconvoluting complex organismal phenotypes into cellular processes, and guiding the development of corresponding cellular models and functional assays. These efforts must be actively pursued and carefully coordinated, which will be a future focus of </w:t>
            </w:r>
            <w:r w:rsidR="00DD7032">
              <w:rPr>
                <w:rFonts w:asciiTheme="minorHAnsi" w:hAnsiTheme="minorHAnsi" w:cstheme="minorHAnsi"/>
                <w:lang w:val="en-US"/>
              </w:rPr>
              <w:t xml:space="preserve">the </w:t>
            </w:r>
            <w:r w:rsidRPr="00D87785">
              <w:rPr>
                <w:rFonts w:asciiTheme="minorHAnsi" w:hAnsiTheme="minorHAnsi" w:cstheme="minorHAnsi"/>
                <w:lang w:val="en-US"/>
              </w:rPr>
              <w:t>E</w:t>
            </w:r>
            <w:r w:rsidR="00DD7032">
              <w:rPr>
                <w:rFonts w:asciiTheme="minorHAnsi" w:hAnsiTheme="minorHAnsi" w:cstheme="minorHAnsi"/>
                <w:lang w:val="en-US"/>
              </w:rPr>
              <w:t>uro</w:t>
            </w:r>
            <w:r w:rsidRPr="00D87785">
              <w:rPr>
                <w:rFonts w:asciiTheme="minorHAnsi" w:hAnsiTheme="minorHAnsi" w:cstheme="minorHAnsi"/>
                <w:lang w:val="en-US"/>
              </w:rPr>
              <w:t>F</w:t>
            </w:r>
            <w:r w:rsidR="00DD7032">
              <w:rPr>
                <w:rFonts w:asciiTheme="minorHAnsi" w:hAnsiTheme="minorHAnsi" w:cstheme="minorHAnsi"/>
                <w:lang w:val="en-US"/>
              </w:rPr>
              <w:t>AANG</w:t>
            </w:r>
            <w:r w:rsidRPr="00D87785">
              <w:rPr>
                <w:rFonts w:asciiTheme="minorHAnsi" w:hAnsiTheme="minorHAnsi" w:cstheme="minorHAnsi"/>
                <w:lang w:val="en-US"/>
              </w:rPr>
              <w:t xml:space="preserve"> RI.</w:t>
            </w:r>
          </w:p>
        </w:tc>
      </w:tr>
    </w:tbl>
    <w:p w14:paraId="48DD5BB7" w14:textId="77777777" w:rsidR="007650DF" w:rsidRDefault="007650DF">
      <w:pPr>
        <w:rPr>
          <w:rFonts w:asciiTheme="majorHAnsi" w:hAnsiTheme="majorHAnsi" w:cstheme="majorHAnsi"/>
          <w:color w:val="000000" w:themeColor="text1"/>
          <w:sz w:val="24"/>
          <w:szCs w:val="24"/>
          <w:lang w:val="en-US"/>
        </w:rPr>
      </w:pPr>
    </w:p>
    <w:p w14:paraId="6F145E4F" w14:textId="15DDB810" w:rsidR="007650DF" w:rsidRDefault="007650DF">
      <w:pPr>
        <w:rPr>
          <w:rFonts w:asciiTheme="majorHAnsi" w:hAnsiTheme="majorHAnsi" w:cstheme="majorHAnsi"/>
          <w:color w:val="000000" w:themeColor="text1"/>
          <w:sz w:val="24"/>
          <w:szCs w:val="24"/>
          <w:lang w:val="en-US"/>
        </w:rPr>
      </w:pPr>
    </w:p>
    <w:p w14:paraId="75EB02E5" w14:textId="131F50C1" w:rsidR="0029075E" w:rsidRDefault="0029075E">
      <w:pPr>
        <w:rPr>
          <w:rFonts w:asciiTheme="majorHAnsi" w:hAnsiTheme="majorHAnsi" w:cstheme="majorHAnsi"/>
          <w:color w:val="000000" w:themeColor="text1"/>
          <w:sz w:val="24"/>
          <w:szCs w:val="24"/>
          <w:lang w:val="en-US"/>
        </w:rPr>
      </w:pPr>
    </w:p>
    <w:p w14:paraId="3369A759" w14:textId="70E99FBE" w:rsidR="009D4C62" w:rsidRDefault="009D4C62">
      <w:pPr>
        <w:spacing w:line="240" w:lineRule="auto"/>
        <w:rPr>
          <w:rFonts w:asciiTheme="majorHAnsi" w:hAnsiTheme="majorHAnsi" w:cstheme="majorHAnsi"/>
          <w:color w:val="000000" w:themeColor="text1"/>
          <w:sz w:val="24"/>
          <w:szCs w:val="24"/>
          <w:lang w:val="en-US"/>
        </w:rPr>
      </w:pPr>
      <w:r>
        <w:rPr>
          <w:rFonts w:asciiTheme="majorHAnsi" w:hAnsiTheme="majorHAnsi" w:cstheme="majorHAnsi"/>
          <w:color w:val="000000" w:themeColor="text1"/>
          <w:sz w:val="24"/>
          <w:szCs w:val="24"/>
          <w:lang w:val="en-US"/>
        </w:rPr>
        <w:br w:type="page"/>
      </w:r>
    </w:p>
    <w:p w14:paraId="5E3E7616" w14:textId="77777777" w:rsidR="002F626A" w:rsidRDefault="002F626A" w:rsidP="00D87785">
      <w:pPr>
        <w:pStyle w:val="berschrift1"/>
      </w:pPr>
      <w:bookmarkStart w:id="3" w:name="_Toc196688403"/>
      <w:bookmarkStart w:id="4" w:name="_Toc196688404"/>
      <w:bookmarkEnd w:id="3"/>
      <w:r w:rsidRPr="002F626A">
        <w:lastRenderedPageBreak/>
        <w:t>Introduction and overview of activities</w:t>
      </w:r>
      <w:bookmarkEnd w:id="4"/>
    </w:p>
    <w:p w14:paraId="274D08D4" w14:textId="3FB539FF" w:rsidR="0029075E" w:rsidRDefault="00F13D10">
      <w:pPr>
        <w:jc w:val="both"/>
        <w:rPr>
          <w:rFonts w:asciiTheme="minorHAnsi" w:hAnsiTheme="minorHAnsi" w:cstheme="minorHAnsi"/>
          <w:lang w:val="en-US" w:eastAsia="en-GB"/>
        </w:rPr>
      </w:pPr>
      <w:r w:rsidRPr="00F13D10">
        <w:rPr>
          <w:rFonts w:asciiTheme="minorHAnsi" w:hAnsiTheme="minorHAnsi" w:cstheme="minorHAnsi"/>
          <w:lang w:val="en-US" w:eastAsia="en-GB"/>
        </w:rPr>
        <w:t>The E</w:t>
      </w:r>
      <w:r w:rsidR="001D794D">
        <w:rPr>
          <w:rFonts w:asciiTheme="minorHAnsi" w:hAnsiTheme="minorHAnsi" w:cstheme="minorHAnsi"/>
          <w:lang w:val="en-US" w:eastAsia="en-GB"/>
        </w:rPr>
        <w:t>uro</w:t>
      </w:r>
      <w:r w:rsidRPr="00F13D10">
        <w:rPr>
          <w:rFonts w:asciiTheme="minorHAnsi" w:hAnsiTheme="minorHAnsi" w:cstheme="minorHAnsi"/>
          <w:lang w:val="en-US" w:eastAsia="en-GB"/>
        </w:rPr>
        <w:t>F</w:t>
      </w:r>
      <w:r w:rsidR="001D794D">
        <w:rPr>
          <w:rFonts w:asciiTheme="minorHAnsi" w:hAnsiTheme="minorHAnsi" w:cstheme="minorHAnsi"/>
          <w:lang w:val="en-US" w:eastAsia="en-GB"/>
        </w:rPr>
        <w:t>AANG</w:t>
      </w:r>
      <w:r w:rsidRPr="00F13D10">
        <w:rPr>
          <w:rFonts w:asciiTheme="minorHAnsi" w:hAnsiTheme="minorHAnsi" w:cstheme="minorHAnsi"/>
          <w:lang w:val="en-US" w:eastAsia="en-GB"/>
        </w:rPr>
        <w:t xml:space="preserve"> Research Infrastructure (RI) project, funded by the EU Horizon Europe program</w:t>
      </w:r>
      <w:r w:rsidR="001D794D">
        <w:rPr>
          <w:rFonts w:asciiTheme="minorHAnsi" w:hAnsiTheme="minorHAnsi" w:cstheme="minorHAnsi"/>
          <w:lang w:val="en-US" w:eastAsia="en-GB"/>
        </w:rPr>
        <w:t xml:space="preserve"> (</w:t>
      </w:r>
      <w:r w:rsidR="001D794D" w:rsidRPr="001D794D">
        <w:rPr>
          <w:rFonts w:asciiTheme="minorHAnsi" w:hAnsiTheme="minorHAnsi" w:cstheme="minorHAnsi"/>
          <w:lang w:val="en-US" w:eastAsia="en-GB"/>
        </w:rPr>
        <w:t>HORIZON-INFRA-2022-DEV-01</w:t>
      </w:r>
      <w:r w:rsidR="001D794D">
        <w:rPr>
          <w:rFonts w:asciiTheme="minorHAnsi" w:hAnsiTheme="minorHAnsi" w:cstheme="minorHAnsi"/>
          <w:lang w:val="en-US" w:eastAsia="en-GB"/>
        </w:rPr>
        <w:t>)</w:t>
      </w:r>
      <w:r w:rsidRPr="00F13D10">
        <w:rPr>
          <w:rFonts w:asciiTheme="minorHAnsi" w:hAnsiTheme="minorHAnsi" w:cstheme="minorHAnsi"/>
          <w:lang w:val="en-US" w:eastAsia="en-GB"/>
        </w:rPr>
        <w:t xml:space="preserve">, aims to develop a pan-European infrastructure to support genotype-to-phenotype (G2P) research in terrestrial and aquatic farmed animals. Coordinated by six leading European centers of excellence in </w:t>
      </w:r>
      <w:r w:rsidR="00A12EEB">
        <w:rPr>
          <w:rFonts w:asciiTheme="minorHAnsi" w:hAnsiTheme="minorHAnsi" w:cstheme="minorHAnsi"/>
          <w:lang w:val="en-US" w:eastAsia="en-GB"/>
        </w:rPr>
        <w:t xml:space="preserve">animal science and </w:t>
      </w:r>
      <w:r w:rsidRPr="00F13D10">
        <w:rPr>
          <w:rFonts w:asciiTheme="minorHAnsi" w:hAnsiTheme="minorHAnsi" w:cstheme="minorHAnsi"/>
          <w:lang w:val="en-US" w:eastAsia="en-GB"/>
        </w:rPr>
        <w:t xml:space="preserve">genomics, the consortium will design the concept for a sustainable infrastructure that provides access to critical resources such as genomic and phenotypic data, biobanks of reference samples, </w:t>
      </w:r>
      <w:r w:rsidRPr="00D87785">
        <w:rPr>
          <w:rFonts w:asciiTheme="minorHAnsi" w:hAnsiTheme="minorHAnsi" w:cstheme="minorHAnsi"/>
          <w:i/>
          <w:lang w:val="en-US" w:eastAsia="en-GB"/>
        </w:rPr>
        <w:t>in vitro</w:t>
      </w:r>
      <w:r w:rsidRPr="00F13D10">
        <w:rPr>
          <w:rFonts w:asciiTheme="minorHAnsi" w:hAnsiTheme="minorHAnsi" w:cstheme="minorHAnsi"/>
          <w:lang w:val="en-US" w:eastAsia="en-GB"/>
        </w:rPr>
        <w:t xml:space="preserve"> cellular models, and genome editing technologies. </w:t>
      </w:r>
      <w:r w:rsidR="001D794D" w:rsidRPr="00F13D10">
        <w:rPr>
          <w:rFonts w:asciiTheme="minorHAnsi" w:hAnsiTheme="minorHAnsi" w:cstheme="minorHAnsi"/>
          <w:lang w:val="en-US" w:eastAsia="en-GB"/>
        </w:rPr>
        <w:t>The E</w:t>
      </w:r>
      <w:r w:rsidR="001D794D">
        <w:rPr>
          <w:rFonts w:asciiTheme="minorHAnsi" w:hAnsiTheme="minorHAnsi" w:cstheme="minorHAnsi"/>
          <w:lang w:val="en-US" w:eastAsia="en-GB"/>
        </w:rPr>
        <w:t>uro</w:t>
      </w:r>
      <w:r w:rsidR="001D794D" w:rsidRPr="00F13D10">
        <w:rPr>
          <w:rFonts w:asciiTheme="minorHAnsi" w:hAnsiTheme="minorHAnsi" w:cstheme="minorHAnsi"/>
          <w:lang w:val="en-US" w:eastAsia="en-GB"/>
        </w:rPr>
        <w:t>F</w:t>
      </w:r>
      <w:r w:rsidR="001D794D">
        <w:rPr>
          <w:rFonts w:asciiTheme="minorHAnsi" w:hAnsiTheme="minorHAnsi" w:cstheme="minorHAnsi"/>
          <w:lang w:val="en-US" w:eastAsia="en-GB"/>
        </w:rPr>
        <w:t>AANG</w:t>
      </w:r>
      <w:r w:rsidR="001D794D" w:rsidRPr="00F13D10">
        <w:rPr>
          <w:rFonts w:asciiTheme="minorHAnsi" w:hAnsiTheme="minorHAnsi" w:cstheme="minorHAnsi"/>
          <w:lang w:val="en-US" w:eastAsia="en-GB"/>
        </w:rPr>
        <w:t xml:space="preserve"> </w:t>
      </w:r>
      <w:r w:rsidR="001D794D">
        <w:rPr>
          <w:rFonts w:asciiTheme="minorHAnsi" w:hAnsiTheme="minorHAnsi" w:cstheme="minorHAnsi"/>
          <w:lang w:val="en-US" w:eastAsia="en-GB"/>
        </w:rPr>
        <w:t xml:space="preserve">RI </w:t>
      </w:r>
      <w:r w:rsidRPr="00F13D10">
        <w:rPr>
          <w:rFonts w:asciiTheme="minorHAnsi" w:hAnsiTheme="minorHAnsi" w:cstheme="minorHAnsi"/>
          <w:lang w:val="en-US" w:eastAsia="en-GB"/>
        </w:rPr>
        <w:t xml:space="preserve">also aims to deliver world-leading expertise, shared research facilities, and targeted training programs to build the next generation of farmed animal scientists. By connecting national capacities and linking with existing European infrastructures, </w:t>
      </w:r>
      <w:r w:rsidR="001D794D" w:rsidRPr="00F13D10">
        <w:rPr>
          <w:rFonts w:asciiTheme="minorHAnsi" w:hAnsiTheme="minorHAnsi" w:cstheme="minorHAnsi"/>
          <w:lang w:val="en-US" w:eastAsia="en-GB"/>
        </w:rPr>
        <w:t>E</w:t>
      </w:r>
      <w:r w:rsidR="001D794D">
        <w:rPr>
          <w:rFonts w:asciiTheme="minorHAnsi" w:hAnsiTheme="minorHAnsi" w:cstheme="minorHAnsi"/>
          <w:lang w:val="en-US" w:eastAsia="en-GB"/>
        </w:rPr>
        <w:t>uro</w:t>
      </w:r>
      <w:r w:rsidR="001D794D" w:rsidRPr="00F13D10">
        <w:rPr>
          <w:rFonts w:asciiTheme="minorHAnsi" w:hAnsiTheme="minorHAnsi" w:cstheme="minorHAnsi"/>
          <w:lang w:val="en-US" w:eastAsia="en-GB"/>
        </w:rPr>
        <w:t>F</w:t>
      </w:r>
      <w:r w:rsidR="001D794D">
        <w:rPr>
          <w:rFonts w:asciiTheme="minorHAnsi" w:hAnsiTheme="minorHAnsi" w:cstheme="minorHAnsi"/>
          <w:lang w:val="en-US" w:eastAsia="en-GB"/>
        </w:rPr>
        <w:t>AANG</w:t>
      </w:r>
      <w:r w:rsidR="001D794D" w:rsidRPr="00F13D10">
        <w:rPr>
          <w:rFonts w:asciiTheme="minorHAnsi" w:hAnsiTheme="minorHAnsi" w:cstheme="minorHAnsi"/>
          <w:lang w:val="en-US" w:eastAsia="en-GB"/>
        </w:rPr>
        <w:t xml:space="preserve"> </w:t>
      </w:r>
      <w:r w:rsidR="001D794D">
        <w:rPr>
          <w:rFonts w:asciiTheme="minorHAnsi" w:hAnsiTheme="minorHAnsi" w:cstheme="minorHAnsi"/>
          <w:lang w:val="en-US" w:eastAsia="en-GB"/>
        </w:rPr>
        <w:t>RI</w:t>
      </w:r>
      <w:r w:rsidRPr="00F13D10">
        <w:rPr>
          <w:rFonts w:asciiTheme="minorHAnsi" w:hAnsiTheme="minorHAnsi" w:cstheme="minorHAnsi"/>
          <w:lang w:val="en-US" w:eastAsia="en-GB"/>
        </w:rPr>
        <w:t xml:space="preserve"> will strengthen the research ecosystem, close key gaps identified by the ESFRI Roadmap, and promote sustainable in</w:t>
      </w:r>
      <w:r w:rsidR="0029075E">
        <w:rPr>
          <w:rFonts w:asciiTheme="minorHAnsi" w:hAnsiTheme="minorHAnsi" w:cstheme="minorHAnsi"/>
          <w:lang w:val="en-US" w:eastAsia="en-GB"/>
        </w:rPr>
        <w:t>novation in animal agriculture.</w:t>
      </w:r>
    </w:p>
    <w:p w14:paraId="63643732" w14:textId="77777777" w:rsidR="00850B54" w:rsidRPr="001C0C19" w:rsidRDefault="00850B54">
      <w:pPr>
        <w:jc w:val="both"/>
        <w:rPr>
          <w:rFonts w:asciiTheme="minorHAnsi" w:hAnsiTheme="minorHAnsi" w:cstheme="minorHAnsi"/>
          <w:lang w:val="en-US" w:eastAsia="en-GB"/>
        </w:rPr>
      </w:pPr>
    </w:p>
    <w:p w14:paraId="2670AA43" w14:textId="0C66C33B" w:rsidR="00850B54" w:rsidRPr="00D87785" w:rsidRDefault="00850B54" w:rsidP="00D87785">
      <w:pPr>
        <w:spacing w:after="120"/>
        <w:jc w:val="both"/>
        <w:rPr>
          <w:rFonts w:asciiTheme="minorHAnsi" w:hAnsiTheme="minorHAnsi" w:cstheme="minorHAnsi"/>
          <w:color w:val="000000" w:themeColor="text1"/>
          <w:lang w:val="en-US"/>
        </w:rPr>
      </w:pPr>
      <w:r w:rsidRPr="00D87785">
        <w:rPr>
          <w:rFonts w:asciiTheme="minorHAnsi" w:hAnsiTheme="minorHAnsi" w:cstheme="minorHAnsi"/>
          <w:lang w:val="en-US"/>
        </w:rPr>
        <w:t xml:space="preserve">The EuroFAANG RI is strategically aligned with the Farm to Fork strategy. The ‘F2F strategy’ is at the heart of the Green Deal and comprehensively addresses the challenges of sustainable food systems and recognises the links between food, healthy societies and a healthy planet. As such the resources for farmed animal science provided by the EuroFAANG </w:t>
      </w:r>
      <w:r w:rsidR="001C0C19" w:rsidRPr="00D87785">
        <w:rPr>
          <w:rFonts w:asciiTheme="minorHAnsi" w:hAnsiTheme="minorHAnsi" w:cstheme="minorHAnsi"/>
          <w:lang w:val="en-US"/>
        </w:rPr>
        <w:t>RI</w:t>
      </w:r>
      <w:r w:rsidRPr="00D87785">
        <w:rPr>
          <w:rFonts w:asciiTheme="minorHAnsi" w:hAnsiTheme="minorHAnsi" w:cstheme="minorHAnsi"/>
          <w:lang w:val="en-US"/>
        </w:rPr>
        <w:t xml:space="preserve"> are relevant to </w:t>
      </w:r>
      <w:r w:rsidRPr="00D87785">
        <w:rPr>
          <w:rFonts w:asciiTheme="minorHAnsi" w:hAnsiTheme="minorHAnsi" w:cstheme="minorHAnsi"/>
          <w:b/>
          <w:bCs/>
          <w:i/>
          <w:iCs/>
          <w:color w:val="767171" w:themeColor="background2" w:themeShade="80"/>
          <w:lang w:val="en-US"/>
        </w:rPr>
        <w:t>“environmental impacts as well as the optimisation of resource use</w:t>
      </w:r>
      <w:r w:rsidRPr="00D87785">
        <w:rPr>
          <w:rFonts w:asciiTheme="minorHAnsi" w:hAnsiTheme="minorHAnsi" w:cstheme="minorHAnsi"/>
          <w:b/>
          <w:bCs/>
          <w:color w:val="767171" w:themeColor="background2" w:themeShade="80"/>
          <w:lang w:val="en-US"/>
        </w:rPr>
        <w:t>”</w:t>
      </w:r>
      <w:r w:rsidRPr="00D87785">
        <w:rPr>
          <w:rFonts w:asciiTheme="minorHAnsi" w:hAnsiTheme="minorHAnsi" w:cstheme="minorHAnsi"/>
          <w:color w:val="000000" w:themeColor="text1"/>
          <w:lang w:val="en-US"/>
        </w:rPr>
        <w:t>.</w:t>
      </w:r>
    </w:p>
    <w:p w14:paraId="68AAAEA0" w14:textId="77777777" w:rsidR="00687AF2" w:rsidRDefault="00687AF2" w:rsidP="00687AF2">
      <w:pPr>
        <w:rPr>
          <w:rFonts w:asciiTheme="minorHAnsi" w:hAnsiTheme="minorHAnsi" w:cstheme="minorHAnsi"/>
          <w:lang w:val="en-US" w:eastAsia="en-GB"/>
        </w:rPr>
      </w:pPr>
    </w:p>
    <w:p w14:paraId="76FA2E87" w14:textId="77777777" w:rsidR="00687AF2" w:rsidRDefault="00687AF2" w:rsidP="00D87785">
      <w:pPr>
        <w:jc w:val="both"/>
        <w:rPr>
          <w:rFonts w:asciiTheme="minorHAnsi" w:hAnsiTheme="minorHAnsi" w:cstheme="minorHAnsi"/>
          <w:lang w:val="en-US" w:eastAsia="en-GB"/>
        </w:rPr>
      </w:pPr>
      <w:r w:rsidRPr="007E0C01">
        <w:rPr>
          <w:rFonts w:asciiTheme="minorHAnsi" w:hAnsiTheme="minorHAnsi" w:cstheme="minorHAnsi"/>
          <w:lang w:val="en-US" w:eastAsia="en-GB"/>
        </w:rPr>
        <w:t>WP6 aims to expand capabilities with new technologies in phenotyping and genomics, and to engage with stakeholders to promote the uptake of new tools and concepts thereby advancing the breeding and management of farmed animals across Europe.</w:t>
      </w:r>
      <w:r>
        <w:rPr>
          <w:rFonts w:asciiTheme="minorHAnsi" w:hAnsiTheme="minorHAnsi" w:cstheme="minorHAnsi"/>
          <w:lang w:val="en-US" w:eastAsia="en-GB"/>
        </w:rPr>
        <w:t xml:space="preserve"> </w:t>
      </w:r>
    </w:p>
    <w:p w14:paraId="76D7DB4A" w14:textId="77777777" w:rsidR="00687AF2" w:rsidRDefault="00687AF2" w:rsidP="00D87785">
      <w:pPr>
        <w:jc w:val="both"/>
        <w:rPr>
          <w:rFonts w:asciiTheme="minorHAnsi" w:hAnsiTheme="minorHAnsi" w:cstheme="minorHAnsi"/>
          <w:lang w:val="en-US" w:eastAsia="en-GB"/>
        </w:rPr>
      </w:pPr>
    </w:p>
    <w:p w14:paraId="5204959A" w14:textId="3D7C4DBD" w:rsidR="00687AF2" w:rsidRDefault="00687AF2" w:rsidP="00D87785">
      <w:pPr>
        <w:jc w:val="both"/>
        <w:rPr>
          <w:rFonts w:asciiTheme="minorHAnsi" w:hAnsiTheme="minorHAnsi" w:cstheme="minorHAnsi"/>
          <w:lang w:val="en-US" w:eastAsia="en-GB"/>
        </w:rPr>
      </w:pPr>
      <w:r w:rsidRPr="007E0C01">
        <w:rPr>
          <w:rFonts w:asciiTheme="minorHAnsi" w:hAnsiTheme="minorHAnsi" w:cstheme="minorHAnsi"/>
          <w:lang w:val="en-US" w:eastAsia="en-GB"/>
        </w:rPr>
        <w:t>Linking genotype to phenotype in cellular systems such</w:t>
      </w:r>
      <w:r w:rsidR="00180B86">
        <w:rPr>
          <w:rFonts w:asciiTheme="minorHAnsi" w:hAnsiTheme="minorHAnsi" w:cstheme="minorHAnsi"/>
          <w:lang w:val="en-US" w:eastAsia="en-GB"/>
        </w:rPr>
        <w:t xml:space="preserve"> as</w:t>
      </w:r>
      <w:r w:rsidRPr="007E0C01">
        <w:rPr>
          <w:rFonts w:asciiTheme="minorHAnsi" w:hAnsiTheme="minorHAnsi" w:cstheme="minorHAnsi"/>
          <w:lang w:val="en-US" w:eastAsia="en-GB"/>
        </w:rPr>
        <w:t xml:space="preserve"> cells or organoids can provide </w:t>
      </w:r>
      <w:r>
        <w:rPr>
          <w:rFonts w:asciiTheme="minorHAnsi" w:hAnsiTheme="minorHAnsi" w:cstheme="minorHAnsi"/>
          <w:lang w:val="en-US" w:eastAsia="en-GB"/>
        </w:rPr>
        <w:t>a useful complementary approach to the use of</w:t>
      </w:r>
      <w:r w:rsidRPr="007E0C01">
        <w:rPr>
          <w:rFonts w:asciiTheme="minorHAnsi" w:hAnsiTheme="minorHAnsi" w:cstheme="minorHAnsi"/>
          <w:lang w:val="en-US" w:eastAsia="en-GB"/>
        </w:rPr>
        <w:t xml:space="preserve"> whole organisms</w:t>
      </w:r>
      <w:r>
        <w:rPr>
          <w:rFonts w:asciiTheme="minorHAnsi" w:hAnsiTheme="minorHAnsi" w:cstheme="minorHAnsi"/>
          <w:lang w:val="en-US" w:eastAsia="en-GB"/>
        </w:rPr>
        <w:t xml:space="preserve"> in G2P research</w:t>
      </w:r>
      <w:r w:rsidRPr="007E0C01">
        <w:rPr>
          <w:rFonts w:asciiTheme="minorHAnsi" w:hAnsiTheme="minorHAnsi" w:cstheme="minorHAnsi"/>
          <w:lang w:val="en-US" w:eastAsia="en-GB"/>
        </w:rPr>
        <w:t>, minimising the use of live animals in research according to the 3R principles</w:t>
      </w:r>
      <w:r>
        <w:rPr>
          <w:rFonts w:asciiTheme="minorHAnsi" w:hAnsiTheme="minorHAnsi" w:cstheme="minorHAnsi"/>
          <w:lang w:val="en-US" w:eastAsia="en-GB"/>
        </w:rPr>
        <w:t xml:space="preserve">. Task 6.1 </w:t>
      </w:r>
      <w:r w:rsidRPr="007E0C01">
        <w:rPr>
          <w:rFonts w:asciiTheme="minorHAnsi" w:hAnsiTheme="minorHAnsi" w:cstheme="minorHAnsi"/>
          <w:lang w:val="en-US" w:eastAsia="en-GB"/>
        </w:rPr>
        <w:t>aims to develop strategies and resources to bridge the knowledge gap that currently exists between cell/organ- and organism-level information.</w:t>
      </w:r>
      <w:r>
        <w:rPr>
          <w:rFonts w:asciiTheme="minorHAnsi" w:hAnsiTheme="minorHAnsi" w:cstheme="minorHAnsi"/>
          <w:lang w:val="en-US" w:eastAsia="en-GB"/>
        </w:rPr>
        <w:t xml:space="preserve"> </w:t>
      </w:r>
    </w:p>
    <w:p w14:paraId="14EC0832" w14:textId="77777777" w:rsidR="00687AF2" w:rsidRDefault="00687AF2" w:rsidP="00D87785">
      <w:pPr>
        <w:jc w:val="both"/>
        <w:rPr>
          <w:rFonts w:asciiTheme="minorHAnsi" w:hAnsiTheme="minorHAnsi" w:cstheme="minorHAnsi"/>
          <w:lang w:val="en-US" w:eastAsia="en-GB"/>
        </w:rPr>
      </w:pPr>
    </w:p>
    <w:p w14:paraId="23C5FBAF" w14:textId="69EA1223" w:rsidR="00687AF2" w:rsidRDefault="00687AF2" w:rsidP="00D87785">
      <w:pPr>
        <w:jc w:val="both"/>
        <w:rPr>
          <w:rFonts w:asciiTheme="minorHAnsi" w:hAnsiTheme="minorHAnsi" w:cstheme="minorHAnsi"/>
          <w:lang w:val="en-US" w:eastAsia="en-GB"/>
        </w:rPr>
      </w:pPr>
      <w:r>
        <w:rPr>
          <w:rFonts w:asciiTheme="minorHAnsi" w:hAnsiTheme="minorHAnsi" w:cstheme="minorHAnsi"/>
          <w:lang w:val="en-US" w:eastAsia="en-GB"/>
        </w:rPr>
        <w:t xml:space="preserve">Bridging the </w:t>
      </w:r>
      <w:r w:rsidRPr="009D66CA">
        <w:rPr>
          <w:rFonts w:asciiTheme="minorHAnsi" w:hAnsiTheme="minorHAnsi" w:cstheme="minorHAnsi"/>
          <w:i/>
          <w:iCs/>
          <w:lang w:val="en-US" w:eastAsia="en-GB"/>
        </w:rPr>
        <w:t>in vitro – in vivo</w:t>
      </w:r>
      <w:r>
        <w:rPr>
          <w:rFonts w:asciiTheme="minorHAnsi" w:hAnsiTheme="minorHAnsi" w:cstheme="minorHAnsi"/>
          <w:lang w:val="en-US" w:eastAsia="en-GB"/>
        </w:rPr>
        <w:t xml:space="preserve"> gap represents a difficult and continuously evolving challenge for contemporary G2P research. Parallel actions carried out by WP4 (Task 4.1, 4.2 and 4.3) aim t</w:t>
      </w:r>
      <w:r w:rsidRPr="003E4EB8">
        <w:rPr>
          <w:rFonts w:asciiTheme="minorHAnsi" w:hAnsiTheme="minorHAnsi" w:cstheme="minorHAnsi"/>
          <w:lang w:val="en-US" w:eastAsia="en-GB"/>
        </w:rPr>
        <w:t>o establish a European biobanking framework to share resources of tissues and cells, including genome edited cell lines</w:t>
      </w:r>
      <w:r>
        <w:rPr>
          <w:rFonts w:asciiTheme="minorHAnsi" w:hAnsiTheme="minorHAnsi" w:cstheme="minorHAnsi"/>
          <w:lang w:val="en-US" w:eastAsia="en-GB"/>
        </w:rPr>
        <w:t xml:space="preserve">, and to </w:t>
      </w:r>
      <w:r w:rsidRPr="003E4EB8">
        <w:rPr>
          <w:rFonts w:asciiTheme="minorHAnsi" w:hAnsiTheme="minorHAnsi" w:cstheme="minorHAnsi"/>
          <w:lang w:val="en-US" w:eastAsia="en-GB"/>
        </w:rPr>
        <w:t>establish a durable network enabling scientists </w:t>
      </w:r>
      <w:r w:rsidR="00A34FBA">
        <w:rPr>
          <w:rFonts w:asciiTheme="minorHAnsi" w:hAnsiTheme="minorHAnsi" w:cstheme="minorHAnsi"/>
          <w:lang w:val="en-US" w:eastAsia="en-GB"/>
        </w:rPr>
        <w:t xml:space="preserve"> to maximise the use of</w:t>
      </w:r>
      <w:r w:rsidRPr="003E4EB8">
        <w:rPr>
          <w:rFonts w:asciiTheme="minorHAnsi" w:hAnsiTheme="minorHAnsi" w:cstheme="minorHAnsi"/>
          <w:lang w:val="en-US" w:eastAsia="en-GB"/>
        </w:rPr>
        <w:t> </w:t>
      </w:r>
      <w:r w:rsidRPr="00C30AE0">
        <w:rPr>
          <w:rFonts w:asciiTheme="minorHAnsi" w:hAnsiTheme="minorHAnsi" w:cstheme="minorHAnsi"/>
          <w:i/>
          <w:iCs/>
          <w:lang w:val="en-US" w:eastAsia="en-GB"/>
        </w:rPr>
        <w:t>in vitro</w:t>
      </w:r>
      <w:r w:rsidRPr="003E4EB8">
        <w:rPr>
          <w:rFonts w:asciiTheme="minorHAnsi" w:hAnsiTheme="minorHAnsi" w:cstheme="minorHAnsi"/>
          <w:lang w:val="en-US" w:eastAsia="en-GB"/>
        </w:rPr>
        <w:t> cellular models</w:t>
      </w:r>
      <w:r w:rsidR="00A34FBA">
        <w:rPr>
          <w:rFonts w:asciiTheme="minorHAnsi" w:hAnsiTheme="minorHAnsi" w:cstheme="minorHAnsi"/>
          <w:lang w:val="en-US" w:eastAsia="en-GB"/>
        </w:rPr>
        <w:t xml:space="preserve"> in G2P research</w:t>
      </w:r>
      <w:r w:rsidRPr="003E4EB8">
        <w:rPr>
          <w:rFonts w:asciiTheme="minorHAnsi" w:hAnsiTheme="minorHAnsi" w:cstheme="minorHAnsi"/>
          <w:lang w:val="en-US" w:eastAsia="en-GB"/>
        </w:rPr>
        <w:t>.</w:t>
      </w:r>
      <w:r>
        <w:rPr>
          <w:rFonts w:asciiTheme="minorHAnsi" w:hAnsiTheme="minorHAnsi" w:cstheme="minorHAnsi"/>
          <w:lang w:val="en-US" w:eastAsia="en-GB"/>
        </w:rPr>
        <w:t xml:space="preserve"> Task 5.1 of WP5 aims to p</w:t>
      </w:r>
      <w:r w:rsidRPr="007E0C01">
        <w:rPr>
          <w:rFonts w:asciiTheme="minorHAnsi" w:hAnsiTheme="minorHAnsi" w:cstheme="minorHAnsi"/>
          <w:lang w:val="en-US" w:eastAsia="en-GB"/>
        </w:rPr>
        <w:t xml:space="preserve">rovide a route to application of FAANG data </w:t>
      </w:r>
      <w:r w:rsidRPr="00C30AE0">
        <w:rPr>
          <w:rFonts w:asciiTheme="minorHAnsi" w:hAnsiTheme="minorHAnsi" w:cstheme="minorHAnsi"/>
          <w:i/>
          <w:iCs/>
          <w:lang w:val="en-US" w:eastAsia="en-GB"/>
        </w:rPr>
        <w:t>in vitro</w:t>
      </w:r>
      <w:r w:rsidRPr="007E0C01">
        <w:rPr>
          <w:rFonts w:asciiTheme="minorHAnsi" w:hAnsiTheme="minorHAnsi" w:cstheme="minorHAnsi"/>
          <w:lang w:val="en-US" w:eastAsia="en-GB"/>
        </w:rPr>
        <w:t xml:space="preserve"> by creating a framework for access to high</w:t>
      </w:r>
      <w:r>
        <w:rPr>
          <w:rFonts w:asciiTheme="minorHAnsi" w:hAnsiTheme="minorHAnsi" w:cstheme="minorHAnsi"/>
          <w:lang w:val="en-US" w:eastAsia="en-GB"/>
        </w:rPr>
        <w:t xml:space="preserve"> </w:t>
      </w:r>
      <w:r w:rsidRPr="007E0C01">
        <w:rPr>
          <w:rFonts w:asciiTheme="minorHAnsi" w:hAnsiTheme="minorHAnsi" w:cstheme="minorHAnsi"/>
          <w:lang w:val="en-US" w:eastAsia="en-GB"/>
        </w:rPr>
        <w:t>throughput phenotyping (HTP) platforms for the validation of candidate causal variants.</w:t>
      </w:r>
      <w:r>
        <w:rPr>
          <w:rFonts w:asciiTheme="minorHAnsi" w:hAnsiTheme="minorHAnsi" w:cstheme="minorHAnsi"/>
          <w:lang w:val="en-US" w:eastAsia="en-GB"/>
        </w:rPr>
        <w:t xml:space="preserve"> The activities of Task 6.1, summarized in this deliverable, were carried out in </w:t>
      </w:r>
      <w:r w:rsidR="002D1D7F">
        <w:rPr>
          <w:rFonts w:asciiTheme="minorHAnsi" w:hAnsiTheme="minorHAnsi" w:cstheme="minorHAnsi"/>
          <w:lang w:val="en-US" w:eastAsia="en-GB"/>
        </w:rPr>
        <w:t>close</w:t>
      </w:r>
      <w:r>
        <w:rPr>
          <w:rFonts w:asciiTheme="minorHAnsi" w:hAnsiTheme="minorHAnsi" w:cstheme="minorHAnsi"/>
          <w:lang w:val="en-US" w:eastAsia="en-GB"/>
        </w:rPr>
        <w:t xml:space="preserve"> collaboration with WP4 and WP5 with the focus to put together the list of current technologies and the diversified approaches already taken or foreseen by current/future users of </w:t>
      </w:r>
      <w:r w:rsidRPr="009D66CA">
        <w:rPr>
          <w:rFonts w:asciiTheme="minorHAnsi" w:hAnsiTheme="minorHAnsi" w:cstheme="minorHAnsi"/>
          <w:i/>
          <w:iCs/>
          <w:lang w:val="en-US" w:eastAsia="en-GB"/>
        </w:rPr>
        <w:t xml:space="preserve">in vitro </w:t>
      </w:r>
      <w:r w:rsidRPr="00B101BA">
        <w:rPr>
          <w:rFonts w:asciiTheme="minorHAnsi" w:hAnsiTheme="minorHAnsi" w:cstheme="minorHAnsi"/>
          <w:lang w:val="en-US" w:eastAsia="en-GB"/>
        </w:rPr>
        <w:t>and</w:t>
      </w:r>
      <w:r w:rsidRPr="009D66CA">
        <w:rPr>
          <w:rFonts w:asciiTheme="minorHAnsi" w:hAnsiTheme="minorHAnsi" w:cstheme="minorHAnsi"/>
          <w:i/>
          <w:iCs/>
          <w:lang w:val="en-US" w:eastAsia="en-GB"/>
        </w:rPr>
        <w:t xml:space="preserve"> in vivo</w:t>
      </w:r>
      <w:r>
        <w:rPr>
          <w:rFonts w:asciiTheme="minorHAnsi" w:hAnsiTheme="minorHAnsi" w:cstheme="minorHAnsi"/>
          <w:lang w:val="en-US" w:eastAsia="en-GB"/>
        </w:rPr>
        <w:t xml:space="preserve"> technologies to overcome th</w:t>
      </w:r>
      <w:r w:rsidR="009E5CA6">
        <w:rPr>
          <w:rFonts w:asciiTheme="minorHAnsi" w:hAnsiTheme="minorHAnsi" w:cstheme="minorHAnsi"/>
          <w:lang w:val="en-US" w:eastAsia="en-GB"/>
        </w:rPr>
        <w:t xml:space="preserve">e </w:t>
      </w:r>
      <w:r w:rsidR="009E5CA6" w:rsidRPr="009D66CA">
        <w:rPr>
          <w:rFonts w:asciiTheme="minorHAnsi" w:hAnsiTheme="minorHAnsi" w:cstheme="minorHAnsi"/>
          <w:i/>
          <w:iCs/>
          <w:lang w:val="en-US" w:eastAsia="en-GB"/>
        </w:rPr>
        <w:t>in vitro – in vivo</w:t>
      </w:r>
      <w:r w:rsidR="009E5CA6">
        <w:rPr>
          <w:rFonts w:asciiTheme="minorHAnsi" w:hAnsiTheme="minorHAnsi" w:cstheme="minorHAnsi"/>
          <w:lang w:val="en-US" w:eastAsia="en-GB"/>
        </w:rPr>
        <w:t xml:space="preserve"> gap </w:t>
      </w:r>
      <w:r>
        <w:rPr>
          <w:rFonts w:asciiTheme="minorHAnsi" w:hAnsiTheme="minorHAnsi" w:cstheme="minorHAnsi"/>
          <w:lang w:val="en-US" w:eastAsia="en-GB"/>
        </w:rPr>
        <w:t xml:space="preserve">challenge. </w:t>
      </w:r>
    </w:p>
    <w:p w14:paraId="63EC8D51" w14:textId="77777777" w:rsidR="00751071" w:rsidRDefault="00751071">
      <w:pPr>
        <w:spacing w:line="240" w:lineRule="auto"/>
        <w:rPr>
          <w:rFonts w:asciiTheme="minorHAnsi" w:hAnsiTheme="minorHAnsi" w:cstheme="minorHAnsi"/>
          <w:lang w:val="en-US" w:eastAsia="en-GB"/>
        </w:rPr>
      </w:pPr>
    </w:p>
    <w:p w14:paraId="441542A9" w14:textId="77777777" w:rsidR="00751071" w:rsidRDefault="00751071" w:rsidP="00D87785">
      <w:pPr>
        <w:rPr>
          <w:rFonts w:asciiTheme="minorHAnsi" w:hAnsiTheme="minorHAnsi" w:cstheme="minorHAnsi"/>
          <w:lang w:val="en-US"/>
        </w:rPr>
      </w:pPr>
      <w:r w:rsidRPr="00D87785">
        <w:rPr>
          <w:rFonts w:asciiTheme="minorHAnsi" w:hAnsiTheme="minorHAnsi" w:cstheme="minorHAnsi"/>
          <w:lang w:val="en-US"/>
        </w:rPr>
        <w:t xml:space="preserve">To create the inventory based on input from the animal science community and leading external experts, we organized the </w:t>
      </w:r>
      <w:r>
        <w:rPr>
          <w:rFonts w:asciiTheme="minorHAnsi" w:hAnsiTheme="minorHAnsi" w:cstheme="minorHAnsi"/>
          <w:lang w:val="en-US"/>
        </w:rPr>
        <w:t>following activities:</w:t>
      </w:r>
    </w:p>
    <w:p w14:paraId="430AF661" w14:textId="563FD0F3" w:rsidR="00751071" w:rsidRPr="003D01AC" w:rsidRDefault="00751071" w:rsidP="00D87785">
      <w:pPr>
        <w:pStyle w:val="Listenabsatz"/>
        <w:numPr>
          <w:ilvl w:val="0"/>
          <w:numId w:val="16"/>
        </w:numPr>
        <w:rPr>
          <w:rFonts w:asciiTheme="minorHAnsi" w:hAnsiTheme="minorHAnsi" w:cstheme="minorHAnsi"/>
          <w:lang w:val="en-US"/>
        </w:rPr>
      </w:pPr>
      <w:r w:rsidRPr="00D87785">
        <w:rPr>
          <w:rFonts w:asciiTheme="minorHAnsi" w:hAnsiTheme="minorHAnsi" w:cstheme="minorHAnsi"/>
          <w:sz w:val="22"/>
          <w:szCs w:val="22"/>
          <w:lang w:val="en-US"/>
        </w:rPr>
        <w:lastRenderedPageBreak/>
        <w:t xml:space="preserve">A workshop </w:t>
      </w:r>
      <w:r w:rsidR="003849CF">
        <w:rPr>
          <w:rFonts w:asciiTheme="minorHAnsi" w:hAnsiTheme="minorHAnsi" w:cstheme="minorHAnsi"/>
          <w:sz w:val="22"/>
          <w:szCs w:val="22"/>
          <w:lang w:val="en-US"/>
        </w:rPr>
        <w:t xml:space="preserve">(Section 3.1) </w:t>
      </w:r>
      <w:r w:rsidRPr="00D87785">
        <w:rPr>
          <w:rFonts w:asciiTheme="minorHAnsi" w:hAnsiTheme="minorHAnsi" w:cstheme="minorHAnsi"/>
          <w:sz w:val="22"/>
          <w:szCs w:val="22"/>
          <w:lang w:val="en-US"/>
        </w:rPr>
        <w:t>and roundtable discussions</w:t>
      </w:r>
      <w:r w:rsidR="003849CF">
        <w:rPr>
          <w:rFonts w:asciiTheme="minorHAnsi" w:hAnsiTheme="minorHAnsi" w:cstheme="minorHAnsi"/>
          <w:sz w:val="22"/>
          <w:szCs w:val="22"/>
          <w:lang w:val="en-US"/>
        </w:rPr>
        <w:t xml:space="preserve"> (Section 3.2)</w:t>
      </w:r>
      <w:r w:rsidRPr="00D87785">
        <w:rPr>
          <w:rFonts w:asciiTheme="minorHAnsi" w:hAnsiTheme="minorHAnsi" w:cstheme="minorHAnsi"/>
          <w:sz w:val="22"/>
          <w:szCs w:val="22"/>
          <w:lang w:val="en-US"/>
        </w:rPr>
        <w:t xml:space="preserve"> to identify key challenges, explore possible solutions, and assess required resources.</w:t>
      </w:r>
    </w:p>
    <w:p w14:paraId="7FDB6266" w14:textId="28D0AAAE" w:rsidR="00751071" w:rsidRPr="003D01AC" w:rsidRDefault="00751071" w:rsidP="00D87785">
      <w:pPr>
        <w:pStyle w:val="Listenabsatz"/>
        <w:numPr>
          <w:ilvl w:val="0"/>
          <w:numId w:val="16"/>
        </w:numPr>
        <w:rPr>
          <w:rFonts w:asciiTheme="minorHAnsi" w:hAnsiTheme="minorHAnsi" w:cstheme="minorHAnsi"/>
          <w:lang w:val="en-US"/>
        </w:rPr>
      </w:pPr>
      <w:r w:rsidRPr="00D87785">
        <w:rPr>
          <w:rFonts w:asciiTheme="minorHAnsi" w:hAnsiTheme="minorHAnsi" w:cstheme="minorHAnsi"/>
          <w:sz w:val="22"/>
          <w:szCs w:val="22"/>
          <w:lang w:val="en-US"/>
        </w:rPr>
        <w:t>A webinar</w:t>
      </w:r>
      <w:r w:rsidR="003849CF">
        <w:rPr>
          <w:rFonts w:asciiTheme="minorHAnsi" w:hAnsiTheme="minorHAnsi" w:cstheme="minorHAnsi"/>
          <w:sz w:val="22"/>
          <w:szCs w:val="22"/>
          <w:lang w:val="en-US"/>
        </w:rPr>
        <w:t xml:space="preserve"> (Section 3.3)</w:t>
      </w:r>
      <w:r w:rsidRPr="00D87785">
        <w:rPr>
          <w:rFonts w:asciiTheme="minorHAnsi" w:hAnsiTheme="minorHAnsi" w:cstheme="minorHAnsi"/>
          <w:sz w:val="22"/>
          <w:szCs w:val="22"/>
          <w:lang w:val="en-US"/>
        </w:rPr>
        <w:t xml:space="preserve"> featuring a leading expert </w:t>
      </w:r>
      <w:r w:rsidR="00AE3C65">
        <w:rPr>
          <w:rFonts w:asciiTheme="minorHAnsi" w:hAnsiTheme="minorHAnsi" w:cstheme="minorHAnsi"/>
          <w:sz w:val="22"/>
          <w:szCs w:val="22"/>
          <w:lang w:val="en-US"/>
        </w:rPr>
        <w:t xml:space="preserve">in cellular genetics </w:t>
      </w:r>
      <w:r w:rsidRPr="00D87785">
        <w:rPr>
          <w:rFonts w:asciiTheme="minorHAnsi" w:hAnsiTheme="minorHAnsi" w:cstheme="minorHAnsi"/>
          <w:sz w:val="22"/>
          <w:szCs w:val="22"/>
          <w:lang w:val="en-US"/>
        </w:rPr>
        <w:t>who</w:t>
      </w:r>
      <w:r w:rsidR="00AE3C65">
        <w:rPr>
          <w:rFonts w:asciiTheme="minorHAnsi" w:hAnsiTheme="minorHAnsi" w:cstheme="minorHAnsi"/>
          <w:sz w:val="22"/>
          <w:szCs w:val="22"/>
          <w:lang w:val="en-US"/>
        </w:rPr>
        <w:t xml:space="preserve"> will</w:t>
      </w:r>
      <w:r w:rsidRPr="00D87785">
        <w:rPr>
          <w:rFonts w:asciiTheme="minorHAnsi" w:hAnsiTheme="minorHAnsi" w:cstheme="minorHAnsi"/>
          <w:sz w:val="22"/>
          <w:szCs w:val="22"/>
          <w:lang w:val="en-US"/>
        </w:rPr>
        <w:t xml:space="preserve"> present an innovative systems biology approach, offering a potential methodological blueprint and a foundation for discussing necessary resources.</w:t>
      </w:r>
    </w:p>
    <w:p w14:paraId="4A74870A" w14:textId="0D570E1C" w:rsidR="0029075E" w:rsidRPr="00D87785" w:rsidRDefault="00751071" w:rsidP="00D87785">
      <w:pPr>
        <w:pStyle w:val="Listenabsatz"/>
        <w:numPr>
          <w:ilvl w:val="0"/>
          <w:numId w:val="16"/>
        </w:numPr>
        <w:rPr>
          <w:rFonts w:asciiTheme="minorHAnsi" w:hAnsiTheme="minorHAnsi" w:cstheme="minorHAnsi"/>
          <w:lang w:val="en-US" w:eastAsia="de-DE"/>
        </w:rPr>
      </w:pPr>
      <w:r w:rsidRPr="00D87785">
        <w:rPr>
          <w:rFonts w:asciiTheme="minorHAnsi" w:hAnsiTheme="minorHAnsi" w:cstheme="minorHAnsi"/>
          <w:sz w:val="22"/>
          <w:szCs w:val="22"/>
          <w:lang w:val="en-US"/>
        </w:rPr>
        <w:t xml:space="preserve">A community survey </w:t>
      </w:r>
      <w:r w:rsidR="003849CF">
        <w:rPr>
          <w:rFonts w:asciiTheme="minorHAnsi" w:hAnsiTheme="minorHAnsi" w:cstheme="minorHAnsi"/>
          <w:sz w:val="22"/>
          <w:szCs w:val="22"/>
          <w:lang w:val="en-US"/>
        </w:rPr>
        <w:t xml:space="preserve">(Section 3.4) </w:t>
      </w:r>
      <w:r w:rsidRPr="00D87785">
        <w:rPr>
          <w:rFonts w:asciiTheme="minorHAnsi" w:hAnsiTheme="minorHAnsi" w:cstheme="minorHAnsi"/>
          <w:sz w:val="22"/>
          <w:szCs w:val="22"/>
          <w:lang w:val="en-US"/>
        </w:rPr>
        <w:t>designed to broaden participation and gather additional opinions and ideas.</w:t>
      </w:r>
      <w:r w:rsidRPr="00D87785">
        <w:rPr>
          <w:rFonts w:asciiTheme="minorHAnsi" w:hAnsiTheme="minorHAnsi" w:cstheme="minorHAnsi"/>
          <w:lang w:val="en-US"/>
        </w:rPr>
        <w:t xml:space="preserve"> </w:t>
      </w:r>
      <w:r w:rsidR="0029075E" w:rsidRPr="003D01AC">
        <w:rPr>
          <w:rFonts w:asciiTheme="minorHAnsi" w:hAnsiTheme="minorHAnsi" w:cstheme="minorHAnsi"/>
          <w:lang w:val="en-US"/>
        </w:rPr>
        <w:br w:type="page"/>
      </w:r>
    </w:p>
    <w:p w14:paraId="5661A7FD" w14:textId="4D41C6AE" w:rsidR="007650DF" w:rsidRPr="002F5368" w:rsidRDefault="00813EB9" w:rsidP="00D87785">
      <w:pPr>
        <w:pStyle w:val="berschrift1"/>
      </w:pPr>
      <w:bookmarkStart w:id="5" w:name="_Toc196688405"/>
      <w:bookmarkStart w:id="6" w:name="_Toc196642750"/>
      <w:bookmarkStart w:id="7" w:name="_Toc196643170"/>
      <w:bookmarkStart w:id="8" w:name="_Toc196643189"/>
      <w:bookmarkStart w:id="9" w:name="_Toc196688406"/>
      <w:bookmarkStart w:id="10" w:name="_Toc196642751"/>
      <w:bookmarkStart w:id="11" w:name="_Toc196643171"/>
      <w:bookmarkStart w:id="12" w:name="_Toc196643190"/>
      <w:bookmarkStart w:id="13" w:name="_Toc196688407"/>
      <w:bookmarkStart w:id="14" w:name="_Toc196688408"/>
      <w:bookmarkEnd w:id="5"/>
      <w:bookmarkEnd w:id="6"/>
      <w:bookmarkEnd w:id="7"/>
      <w:bookmarkEnd w:id="8"/>
      <w:bookmarkEnd w:id="9"/>
      <w:bookmarkEnd w:id="10"/>
      <w:bookmarkEnd w:id="11"/>
      <w:bookmarkEnd w:id="12"/>
      <w:bookmarkEnd w:id="13"/>
      <w:r w:rsidRPr="00D87785">
        <w:lastRenderedPageBreak/>
        <w:t xml:space="preserve">Overview of activities and outcomes of collaborative efforts towards building </w:t>
      </w:r>
      <w:r w:rsidR="00265B59" w:rsidRPr="00D87785">
        <w:t xml:space="preserve">an inventory of critical needs for bridging the gap between </w:t>
      </w:r>
      <w:r w:rsidR="00265B59" w:rsidRPr="00D87785">
        <w:rPr>
          <w:i/>
        </w:rPr>
        <w:t>in vitro</w:t>
      </w:r>
      <w:r w:rsidR="00265B59" w:rsidRPr="00D87785">
        <w:t xml:space="preserve"> and </w:t>
      </w:r>
      <w:r w:rsidR="00265B59" w:rsidRPr="00D87785">
        <w:rPr>
          <w:i/>
        </w:rPr>
        <w:t>in vivo</w:t>
      </w:r>
      <w:r w:rsidR="00265B59" w:rsidRPr="00D87785">
        <w:t xml:space="preserve"> G2P research</w:t>
      </w:r>
      <w:bookmarkEnd w:id="14"/>
    </w:p>
    <w:p w14:paraId="4D94EC38" w14:textId="77777777" w:rsidR="0097360E" w:rsidRPr="00D87785" w:rsidRDefault="0097360E" w:rsidP="00687AF2">
      <w:pPr>
        <w:rPr>
          <w:rFonts w:asciiTheme="minorHAnsi" w:hAnsiTheme="minorHAnsi" w:cstheme="minorHAnsi"/>
          <w:b/>
          <w:color w:val="1F4E79"/>
          <w:lang w:val="en-US"/>
        </w:rPr>
      </w:pPr>
    </w:p>
    <w:p w14:paraId="0D26E386" w14:textId="186F4156" w:rsidR="007650DF" w:rsidRPr="00D87785" w:rsidRDefault="00626D0C" w:rsidP="002A20D5">
      <w:pPr>
        <w:pStyle w:val="berschrift2"/>
        <w:rPr>
          <w:color w:val="1F4E79"/>
          <w:sz w:val="28"/>
          <w:szCs w:val="28"/>
          <w:lang w:val="en-US"/>
        </w:rPr>
      </w:pPr>
      <w:bookmarkStart w:id="15" w:name="_Toc196688409"/>
      <w:r w:rsidRPr="00D87785">
        <w:rPr>
          <w:color w:val="1F4E79"/>
          <w:sz w:val="28"/>
          <w:szCs w:val="28"/>
        </w:rPr>
        <w:t xml:space="preserve">3.1 </w:t>
      </w:r>
      <w:r w:rsidR="00C620DC" w:rsidRPr="00D87785">
        <w:rPr>
          <w:color w:val="1F4E79"/>
          <w:sz w:val="28"/>
          <w:szCs w:val="28"/>
        </w:rPr>
        <w:t>Workshop “</w:t>
      </w:r>
      <w:r w:rsidR="00C620DC" w:rsidRPr="00D87785">
        <w:rPr>
          <w:color w:val="1F4E79"/>
          <w:sz w:val="28"/>
          <w:szCs w:val="28"/>
          <w:lang w:val="en-US"/>
        </w:rPr>
        <w:t xml:space="preserve">Bridging the Gap Between </w:t>
      </w:r>
      <w:r w:rsidR="00C620DC" w:rsidRPr="00D87785">
        <w:rPr>
          <w:i/>
          <w:color w:val="1F4E79"/>
          <w:sz w:val="28"/>
          <w:szCs w:val="28"/>
          <w:lang w:val="en-US"/>
        </w:rPr>
        <w:t>In Vitro</w:t>
      </w:r>
      <w:r w:rsidR="00C620DC" w:rsidRPr="00D87785">
        <w:rPr>
          <w:color w:val="1F4E79"/>
          <w:sz w:val="28"/>
          <w:szCs w:val="28"/>
          <w:lang w:val="en-US"/>
        </w:rPr>
        <w:t xml:space="preserve"> and </w:t>
      </w:r>
      <w:r w:rsidR="00C620DC" w:rsidRPr="00D87785">
        <w:rPr>
          <w:i/>
          <w:color w:val="1F4E79"/>
          <w:sz w:val="28"/>
          <w:szCs w:val="28"/>
          <w:lang w:val="en-US"/>
        </w:rPr>
        <w:t>In Vivo</w:t>
      </w:r>
      <w:r w:rsidR="00C620DC" w:rsidRPr="00D87785">
        <w:rPr>
          <w:color w:val="1F4E79"/>
          <w:sz w:val="28"/>
          <w:szCs w:val="28"/>
          <w:lang w:val="en-US"/>
        </w:rPr>
        <w:t xml:space="preserve"> G2P Research”</w:t>
      </w:r>
      <w:bookmarkEnd w:id="15"/>
      <w:r w:rsidR="00C35FE2" w:rsidRPr="00D87785">
        <w:rPr>
          <w:color w:val="1F4E79"/>
          <w:sz w:val="28"/>
          <w:szCs w:val="28"/>
          <w:lang w:val="en-US"/>
        </w:rPr>
        <w:t xml:space="preserve"> </w:t>
      </w:r>
    </w:p>
    <w:p w14:paraId="27F3465A" w14:textId="7F2A2F85" w:rsidR="00C620DC" w:rsidRPr="00D87785" w:rsidRDefault="00C620DC" w:rsidP="00D87785">
      <w:pPr>
        <w:pStyle w:val="berschrift3"/>
        <w:rPr>
          <w:color w:val="1F4E79"/>
        </w:rPr>
      </w:pPr>
      <w:bookmarkStart w:id="16" w:name="_Toc196688410"/>
      <w:r w:rsidRPr="00D87785">
        <w:rPr>
          <w:color w:val="1F4E79"/>
        </w:rPr>
        <w:t>3.1.1 Foundational meeting</w:t>
      </w:r>
      <w:bookmarkEnd w:id="16"/>
      <w:r w:rsidR="000E5E45" w:rsidRPr="00D87785">
        <w:rPr>
          <w:color w:val="1F4E79"/>
        </w:rPr>
        <w:t xml:space="preserve"> </w:t>
      </w:r>
    </w:p>
    <w:p w14:paraId="3ADEA6CA" w14:textId="75517F64"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In order to prepare the agenda for the planned workshop</w:t>
      </w:r>
      <w:r w:rsidR="007E26E8">
        <w:rPr>
          <w:rFonts w:asciiTheme="minorHAnsi" w:hAnsiTheme="minorHAnsi" w:cstheme="minorHAnsi"/>
          <w:color w:val="000000" w:themeColor="text1"/>
          <w:lang w:val="en-US"/>
        </w:rPr>
        <w:t>,</w:t>
      </w:r>
      <w:r>
        <w:rPr>
          <w:rFonts w:asciiTheme="minorHAnsi" w:hAnsiTheme="minorHAnsi" w:cstheme="minorHAnsi"/>
          <w:color w:val="000000" w:themeColor="text1"/>
          <w:lang w:val="en-US"/>
        </w:rPr>
        <w:t xml:space="preserve"> a foundational meeting of eight FBN scientists with expertise in G2P research, cell biology and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models, and biomathematics was held on 5</w:t>
      </w:r>
      <w:r>
        <w:rPr>
          <w:rFonts w:asciiTheme="minorHAnsi" w:hAnsiTheme="minorHAnsi" w:cstheme="minorHAnsi"/>
          <w:color w:val="000000" w:themeColor="text1"/>
          <w:vertAlign w:val="superscript"/>
          <w:lang w:val="en-US"/>
        </w:rPr>
        <w:t>th</w:t>
      </w:r>
      <w:r>
        <w:rPr>
          <w:rFonts w:asciiTheme="minorHAnsi" w:hAnsiTheme="minorHAnsi" w:cstheme="minorHAnsi"/>
          <w:color w:val="000000" w:themeColor="text1"/>
          <w:lang w:val="en-US"/>
        </w:rPr>
        <w:t xml:space="preserve"> January 2024. The team brainstormed on various topics related to the current state of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cellular models in farm animals, methods to collect phenotypic data from these models and how to link the data to organismal phenotypes. </w:t>
      </w:r>
    </w:p>
    <w:p w14:paraId="0AB160CA" w14:textId="77777777" w:rsidR="00B37074" w:rsidRDefault="00B37074">
      <w:pPr>
        <w:jc w:val="both"/>
        <w:rPr>
          <w:rFonts w:asciiTheme="minorHAnsi" w:hAnsiTheme="minorHAnsi" w:cstheme="minorHAnsi"/>
          <w:color w:val="000000" w:themeColor="text1"/>
          <w:lang w:val="en-US"/>
        </w:rPr>
      </w:pPr>
    </w:p>
    <w:p w14:paraId="51DACAD9" w14:textId="77777777"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One of the major gaps that the participants identified was the lack of suitable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models in farm animals. Advantages and limitations of stem-cell based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models were discussed, and opportunities for </w:t>
      </w:r>
      <w:r w:rsidR="00E843F4">
        <w:rPr>
          <w:rFonts w:asciiTheme="minorHAnsi" w:hAnsiTheme="minorHAnsi" w:cstheme="minorHAnsi"/>
          <w:color w:val="000000" w:themeColor="text1"/>
          <w:lang w:val="en-US"/>
        </w:rPr>
        <w:t>adopting</w:t>
      </w:r>
      <w:r>
        <w:rPr>
          <w:rFonts w:asciiTheme="minorHAnsi" w:hAnsiTheme="minorHAnsi" w:cstheme="minorHAnsi"/>
          <w:color w:val="000000" w:themeColor="text1"/>
          <w:lang w:val="en-US"/>
        </w:rPr>
        <w:t xml:space="preserve"> protocols </w:t>
      </w:r>
      <w:r w:rsidR="00E843F4">
        <w:rPr>
          <w:rFonts w:asciiTheme="minorHAnsi" w:hAnsiTheme="minorHAnsi" w:cstheme="minorHAnsi"/>
          <w:color w:val="000000" w:themeColor="text1"/>
          <w:lang w:val="en-US"/>
        </w:rPr>
        <w:t xml:space="preserve">from well-established model species </w:t>
      </w:r>
      <w:r>
        <w:rPr>
          <w:rFonts w:asciiTheme="minorHAnsi" w:hAnsiTheme="minorHAnsi" w:cstheme="minorHAnsi"/>
          <w:color w:val="000000" w:themeColor="text1"/>
          <w:lang w:val="en-US"/>
        </w:rPr>
        <w:t>as well as critical need f</w:t>
      </w:r>
      <w:r w:rsidR="00B37074">
        <w:rPr>
          <w:rFonts w:asciiTheme="minorHAnsi" w:hAnsiTheme="minorHAnsi" w:cstheme="minorHAnsi"/>
          <w:color w:val="000000" w:themeColor="text1"/>
          <w:lang w:val="en-US"/>
        </w:rPr>
        <w:t>or standardization highlighted.</w:t>
      </w:r>
    </w:p>
    <w:p w14:paraId="51A4B9C7" w14:textId="77777777" w:rsidR="00B37074" w:rsidRDefault="00B37074">
      <w:pPr>
        <w:jc w:val="both"/>
        <w:rPr>
          <w:rFonts w:asciiTheme="minorHAnsi" w:hAnsiTheme="minorHAnsi" w:cstheme="minorHAnsi"/>
          <w:color w:val="000000" w:themeColor="text1"/>
          <w:lang w:val="en-US"/>
        </w:rPr>
      </w:pPr>
    </w:p>
    <w:p w14:paraId="3777E40E" w14:textId="77777777"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The limitations of current models in accurately replicating the complexity of </w:t>
      </w:r>
      <w:r>
        <w:rPr>
          <w:rFonts w:asciiTheme="minorHAnsi" w:hAnsiTheme="minorHAnsi" w:cstheme="minorHAnsi"/>
          <w:i/>
          <w:iCs/>
          <w:color w:val="000000" w:themeColor="text1"/>
          <w:lang w:val="en-US"/>
        </w:rPr>
        <w:t>in vivo</w:t>
      </w:r>
      <w:r>
        <w:rPr>
          <w:rFonts w:asciiTheme="minorHAnsi" w:hAnsiTheme="minorHAnsi" w:cstheme="minorHAnsi"/>
          <w:color w:val="000000" w:themeColor="text1"/>
          <w:lang w:val="en-US"/>
        </w:rPr>
        <w:t xml:space="preserve"> conditions were a central theme of the meeting. A key conclusion was the necessity for the research community to enhance </w:t>
      </w:r>
      <w:r>
        <w:rPr>
          <w:rFonts w:asciiTheme="minorHAnsi" w:hAnsiTheme="minorHAnsi" w:cstheme="minorHAnsi"/>
          <w:i/>
          <w:iCs/>
          <w:color w:val="000000" w:themeColor="text1"/>
          <w:lang w:val="en-US"/>
        </w:rPr>
        <w:t xml:space="preserve">in vitro </w:t>
      </w:r>
      <w:r>
        <w:rPr>
          <w:rFonts w:asciiTheme="minorHAnsi" w:hAnsiTheme="minorHAnsi" w:cstheme="minorHAnsi"/>
          <w:color w:val="000000" w:themeColor="text1"/>
          <w:lang w:val="en-US"/>
        </w:rPr>
        <w:t xml:space="preserve">models through a more comprehensive understanding of the corresponding </w:t>
      </w:r>
      <w:r>
        <w:rPr>
          <w:rFonts w:asciiTheme="minorHAnsi" w:hAnsiTheme="minorHAnsi" w:cstheme="minorHAnsi"/>
          <w:i/>
          <w:iCs/>
          <w:color w:val="000000" w:themeColor="text1"/>
          <w:lang w:val="en-US"/>
        </w:rPr>
        <w:t xml:space="preserve">in vivo </w:t>
      </w:r>
      <w:r>
        <w:rPr>
          <w:rFonts w:asciiTheme="minorHAnsi" w:hAnsiTheme="minorHAnsi" w:cstheme="minorHAnsi"/>
          <w:color w:val="000000" w:themeColor="text1"/>
          <w:lang w:val="en-US"/>
        </w:rPr>
        <w:t xml:space="preserve">biology. One proposed strategy to address this limitation involves conducting parallel </w:t>
      </w:r>
      <w:r>
        <w:rPr>
          <w:rFonts w:asciiTheme="minorHAnsi" w:hAnsiTheme="minorHAnsi" w:cstheme="minorHAnsi"/>
          <w:i/>
          <w:iCs/>
          <w:color w:val="000000" w:themeColor="text1"/>
          <w:lang w:val="en-US"/>
        </w:rPr>
        <w:t xml:space="preserve">in vivo </w:t>
      </w:r>
      <w:r>
        <w:rPr>
          <w:rFonts w:asciiTheme="minorHAnsi" w:hAnsiTheme="minorHAnsi" w:cstheme="minorHAnsi"/>
          <w:color w:val="000000" w:themeColor="text1"/>
          <w:lang w:val="en-US"/>
        </w:rPr>
        <w:t>and</w:t>
      </w:r>
      <w:r>
        <w:rPr>
          <w:rFonts w:asciiTheme="minorHAnsi" w:hAnsiTheme="minorHAnsi" w:cstheme="minorHAnsi"/>
          <w:i/>
          <w:iCs/>
          <w:color w:val="000000" w:themeColor="text1"/>
          <w:lang w:val="en-US"/>
        </w:rPr>
        <w:t xml:space="preserve"> in vitro </w:t>
      </w:r>
      <w:r>
        <w:rPr>
          <w:rFonts w:asciiTheme="minorHAnsi" w:hAnsiTheme="minorHAnsi" w:cstheme="minorHAnsi"/>
          <w:color w:val="000000" w:themeColor="text1"/>
          <w:lang w:val="en-US"/>
        </w:rPr>
        <w:t xml:space="preserve">experiments using cells derived from the same individual, enabling direct comparison of cellular functions across physiological and artificial environments. To establish the link between cellular processes </w:t>
      </w:r>
      <w:r>
        <w:rPr>
          <w:rFonts w:asciiTheme="minorHAnsi" w:hAnsiTheme="minorHAnsi" w:cstheme="minorHAnsi"/>
          <w:i/>
          <w:iCs/>
          <w:color w:val="000000" w:themeColor="text1"/>
          <w:lang w:val="en-US"/>
        </w:rPr>
        <w:t xml:space="preserve">in vitro </w:t>
      </w:r>
      <w:r>
        <w:rPr>
          <w:rFonts w:asciiTheme="minorHAnsi" w:hAnsiTheme="minorHAnsi" w:cstheme="minorHAnsi"/>
          <w:color w:val="000000" w:themeColor="text1"/>
          <w:lang w:val="en-US"/>
        </w:rPr>
        <w:t xml:space="preserve">and </w:t>
      </w:r>
      <w:r>
        <w:rPr>
          <w:rFonts w:asciiTheme="minorHAnsi" w:hAnsiTheme="minorHAnsi" w:cstheme="minorHAnsi"/>
          <w:i/>
          <w:iCs/>
          <w:color w:val="000000" w:themeColor="text1"/>
          <w:lang w:val="en-US"/>
        </w:rPr>
        <w:t xml:space="preserve">in vivo </w:t>
      </w:r>
      <w:r>
        <w:rPr>
          <w:rFonts w:asciiTheme="minorHAnsi" w:hAnsiTheme="minorHAnsi" w:cstheme="minorHAnsi"/>
          <w:iCs/>
          <w:color w:val="000000" w:themeColor="text1"/>
          <w:lang w:val="en-US"/>
        </w:rPr>
        <w:t>in a G2P context</w:t>
      </w:r>
      <w:r>
        <w:rPr>
          <w:rFonts w:asciiTheme="minorHAnsi" w:hAnsiTheme="minorHAnsi" w:cstheme="minorHAnsi"/>
          <w:color w:val="000000" w:themeColor="text1"/>
          <w:lang w:val="en-US"/>
        </w:rPr>
        <w:t>, the use of deeply phenotyped reference populations was proposed.</w:t>
      </w:r>
    </w:p>
    <w:p w14:paraId="0D74C1FC" w14:textId="77777777" w:rsidR="00CE00BF" w:rsidRDefault="00CE00BF">
      <w:pPr>
        <w:jc w:val="both"/>
        <w:rPr>
          <w:rFonts w:asciiTheme="minorHAnsi" w:hAnsiTheme="minorHAnsi" w:cstheme="minorHAnsi"/>
          <w:color w:val="000000" w:themeColor="text1"/>
          <w:lang w:val="en-US"/>
        </w:rPr>
      </w:pPr>
    </w:p>
    <w:p w14:paraId="53428C4E" w14:textId="52911A5C"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At the meeting a core group was formed with responsibility to organize the </w:t>
      </w:r>
      <w:r w:rsidR="00E503DF">
        <w:rPr>
          <w:rFonts w:asciiTheme="minorHAnsi" w:hAnsiTheme="minorHAnsi" w:cstheme="minorHAnsi"/>
          <w:color w:val="000000" w:themeColor="text1"/>
          <w:lang w:val="en-US"/>
        </w:rPr>
        <w:t xml:space="preserve">subsequent </w:t>
      </w:r>
      <w:r>
        <w:rPr>
          <w:rFonts w:asciiTheme="minorHAnsi" w:hAnsiTheme="minorHAnsi" w:cstheme="minorHAnsi"/>
          <w:color w:val="000000" w:themeColor="text1"/>
          <w:lang w:val="en-US"/>
        </w:rPr>
        <w:t xml:space="preserve">workshop </w:t>
      </w:r>
      <w:r w:rsidR="00E503DF">
        <w:rPr>
          <w:rFonts w:asciiTheme="minorHAnsi" w:hAnsiTheme="minorHAnsi" w:cstheme="minorHAnsi"/>
          <w:color w:val="000000" w:themeColor="text1"/>
          <w:lang w:val="en-US"/>
        </w:rPr>
        <w:t xml:space="preserve">(see below) </w:t>
      </w:r>
      <w:r>
        <w:rPr>
          <w:rFonts w:asciiTheme="minorHAnsi" w:hAnsiTheme="minorHAnsi" w:cstheme="minorHAnsi"/>
          <w:color w:val="000000" w:themeColor="text1"/>
          <w:lang w:val="en-US"/>
        </w:rPr>
        <w:t xml:space="preserve">and develop the </w:t>
      </w:r>
      <w:r w:rsidR="00E503DF">
        <w:rPr>
          <w:rFonts w:asciiTheme="minorHAnsi" w:hAnsiTheme="minorHAnsi" w:cstheme="minorHAnsi"/>
          <w:color w:val="000000" w:themeColor="text1"/>
          <w:lang w:val="en-US"/>
        </w:rPr>
        <w:t xml:space="preserve">workshop </w:t>
      </w:r>
      <w:r>
        <w:rPr>
          <w:rFonts w:asciiTheme="minorHAnsi" w:hAnsiTheme="minorHAnsi" w:cstheme="minorHAnsi"/>
          <w:color w:val="000000" w:themeColor="text1"/>
          <w:lang w:val="en-US"/>
        </w:rPr>
        <w:t>agenda.</w:t>
      </w:r>
    </w:p>
    <w:p w14:paraId="3B0D692C" w14:textId="77777777" w:rsidR="00B37074" w:rsidRDefault="00B37074">
      <w:pPr>
        <w:jc w:val="both"/>
        <w:rPr>
          <w:rFonts w:asciiTheme="minorHAnsi" w:hAnsiTheme="minorHAnsi" w:cstheme="minorHAnsi"/>
          <w:b/>
          <w:color w:val="000000" w:themeColor="text1"/>
          <w:lang w:val="en-US"/>
        </w:rPr>
      </w:pPr>
    </w:p>
    <w:p w14:paraId="0C8898DA" w14:textId="6807C6C6" w:rsidR="007650DF" w:rsidRPr="00D87785" w:rsidRDefault="00626D0C" w:rsidP="00D87785">
      <w:pPr>
        <w:pStyle w:val="berschrift3"/>
        <w:rPr>
          <w:color w:val="1F4E79"/>
        </w:rPr>
      </w:pPr>
      <w:bookmarkStart w:id="17" w:name="_Toc196688411"/>
      <w:r w:rsidRPr="00D87785">
        <w:rPr>
          <w:color w:val="1F4E79"/>
        </w:rPr>
        <w:t>3.1.</w:t>
      </w:r>
      <w:r w:rsidR="00573E50" w:rsidRPr="00D87785">
        <w:rPr>
          <w:color w:val="1F4E79"/>
        </w:rPr>
        <w:t>2</w:t>
      </w:r>
      <w:r w:rsidRPr="00D87785">
        <w:rPr>
          <w:color w:val="1F4E79"/>
        </w:rPr>
        <w:t xml:space="preserve"> Workshop </w:t>
      </w:r>
      <w:r w:rsidR="00C620DC" w:rsidRPr="00D87785">
        <w:rPr>
          <w:color w:val="1F4E79"/>
        </w:rPr>
        <w:t>concept</w:t>
      </w:r>
      <w:bookmarkEnd w:id="17"/>
    </w:p>
    <w:p w14:paraId="6F5C8AD4" w14:textId="4390EBF1"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To initiate a broad and inclusive dialogue, the core team compiled a list of 74 potential participants, encompassing researchers from diverse disciplines and species as well as stakeholders from animal breeding and biotech sectors. These invitees were asked to indicate their availability via an online poll. The most suitable date for the workshop was identified as 16</w:t>
      </w:r>
      <w:r>
        <w:rPr>
          <w:rFonts w:asciiTheme="minorHAnsi" w:hAnsiTheme="minorHAnsi" w:cstheme="minorHAnsi"/>
          <w:color w:val="000000" w:themeColor="text1"/>
          <w:vertAlign w:val="superscript"/>
          <w:lang w:val="en-US"/>
        </w:rPr>
        <w:t>th</w:t>
      </w:r>
      <w:r>
        <w:rPr>
          <w:rFonts w:asciiTheme="minorHAnsi" w:hAnsiTheme="minorHAnsi" w:cstheme="minorHAnsi"/>
          <w:color w:val="000000" w:themeColor="text1"/>
          <w:lang w:val="en-US"/>
        </w:rPr>
        <w:t xml:space="preserve"> </w:t>
      </w:r>
      <w:r w:rsidR="00EE2643">
        <w:rPr>
          <w:rFonts w:asciiTheme="minorHAnsi" w:hAnsiTheme="minorHAnsi" w:cstheme="minorHAnsi"/>
          <w:color w:val="000000" w:themeColor="text1"/>
          <w:lang w:val="en-US"/>
        </w:rPr>
        <w:t>June</w:t>
      </w:r>
      <w:r>
        <w:rPr>
          <w:rFonts w:asciiTheme="minorHAnsi" w:hAnsiTheme="minorHAnsi" w:cstheme="minorHAnsi"/>
          <w:color w:val="000000" w:themeColor="text1"/>
          <w:lang w:val="en-US"/>
        </w:rPr>
        <w:t xml:space="preserve"> 2024.</w:t>
      </w:r>
    </w:p>
    <w:p w14:paraId="4C46EA97" w14:textId="77777777" w:rsidR="00B37074"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To maximize engagement, invitations were distributed both through EFFAB and via personal outreach. The invitation email included a brief introduction, a link to an accompanying survey (detailed in Section 3.2), and a warm invitation to collaborate.</w:t>
      </w:r>
      <w:r w:rsidR="00B37074">
        <w:rPr>
          <w:rFonts w:asciiTheme="minorHAnsi" w:hAnsiTheme="minorHAnsi" w:cstheme="minorHAnsi"/>
          <w:color w:val="000000" w:themeColor="text1"/>
          <w:lang w:val="en-US"/>
        </w:rPr>
        <w:t xml:space="preserve"> </w:t>
      </w:r>
      <w:r>
        <w:rPr>
          <w:rFonts w:asciiTheme="minorHAnsi" w:hAnsiTheme="minorHAnsi" w:cstheme="minorHAnsi"/>
          <w:color w:val="000000" w:themeColor="text1"/>
          <w:lang w:val="en-US"/>
        </w:rPr>
        <w:t xml:space="preserve">Ultimately, the workshop brought </w:t>
      </w:r>
      <w:r>
        <w:rPr>
          <w:rFonts w:asciiTheme="minorHAnsi" w:hAnsiTheme="minorHAnsi" w:cstheme="minorHAnsi"/>
          <w:color w:val="000000" w:themeColor="text1"/>
          <w:lang w:val="en-US"/>
        </w:rPr>
        <w:lastRenderedPageBreak/>
        <w:t xml:space="preserve">together 23 participants—primarily academic researchers, alongside a representative from the biotech sector. </w:t>
      </w:r>
    </w:p>
    <w:p w14:paraId="57A27B32" w14:textId="77777777" w:rsidR="00B37074" w:rsidRDefault="00B37074">
      <w:pPr>
        <w:jc w:val="both"/>
        <w:rPr>
          <w:rFonts w:asciiTheme="minorHAnsi" w:hAnsiTheme="minorHAnsi" w:cstheme="minorHAnsi"/>
          <w:color w:val="000000" w:themeColor="text1"/>
          <w:lang w:val="en-US"/>
        </w:rPr>
      </w:pPr>
    </w:p>
    <w:p w14:paraId="0F5D0CED" w14:textId="1EBD58AD"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The session opened with an overview of Work Package 6 (WP6), highlighting the motivation behind bridging the gap between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and </w:t>
      </w:r>
      <w:r>
        <w:rPr>
          <w:rFonts w:asciiTheme="minorHAnsi" w:hAnsiTheme="minorHAnsi" w:cstheme="minorHAnsi"/>
          <w:i/>
          <w:color w:val="000000" w:themeColor="text1"/>
          <w:lang w:val="en-US"/>
        </w:rPr>
        <w:t>in vivo</w:t>
      </w:r>
      <w:r>
        <w:rPr>
          <w:rFonts w:asciiTheme="minorHAnsi" w:hAnsiTheme="minorHAnsi" w:cstheme="minorHAnsi"/>
          <w:color w:val="000000" w:themeColor="text1"/>
          <w:lang w:val="en-US"/>
        </w:rPr>
        <w:t xml:space="preserve"> research in the context of advancing the 3R principles in animal experimentation.</w:t>
      </w:r>
      <w:r w:rsidR="00B37074">
        <w:rPr>
          <w:rFonts w:asciiTheme="minorHAnsi" w:hAnsiTheme="minorHAnsi" w:cstheme="minorHAnsi"/>
          <w:color w:val="000000" w:themeColor="text1"/>
          <w:lang w:val="en-US"/>
        </w:rPr>
        <w:t xml:space="preserve"> </w:t>
      </w:r>
      <w:r>
        <w:rPr>
          <w:rFonts w:asciiTheme="minorHAnsi" w:hAnsiTheme="minorHAnsi" w:cstheme="minorHAnsi"/>
          <w:color w:val="000000" w:themeColor="text1"/>
          <w:lang w:val="en-US"/>
        </w:rPr>
        <w:t xml:space="preserve">A basic concept that was proposed during the workshop involved a dual approach to narrowing this gap: advancing the development of physiological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cellular models in farm animals such as organoids, while also deepening our understanding of cell function </w:t>
      </w:r>
      <w:r>
        <w:rPr>
          <w:rFonts w:asciiTheme="minorHAnsi" w:hAnsiTheme="minorHAnsi" w:cstheme="minorHAnsi"/>
          <w:i/>
          <w:color w:val="000000" w:themeColor="text1"/>
          <w:lang w:val="en-US"/>
        </w:rPr>
        <w:t>in vivo</w:t>
      </w:r>
      <w:r>
        <w:rPr>
          <w:rFonts w:asciiTheme="minorHAnsi" w:hAnsiTheme="minorHAnsi" w:cstheme="minorHAnsi"/>
          <w:color w:val="000000" w:themeColor="text1"/>
          <w:lang w:val="en-US"/>
        </w:rPr>
        <w:t xml:space="preserve"> through cutting-edge single-cell omics technologies that can be used to enhance the fidelity of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models.</w:t>
      </w:r>
    </w:p>
    <w:p w14:paraId="7FC598D1" w14:textId="77777777" w:rsidR="00B37074" w:rsidRDefault="00B37074">
      <w:pPr>
        <w:jc w:val="both"/>
        <w:rPr>
          <w:rFonts w:asciiTheme="minorHAnsi" w:hAnsiTheme="minorHAnsi" w:cstheme="minorHAnsi"/>
          <w:color w:val="000000" w:themeColor="text1"/>
          <w:lang w:val="en-US"/>
        </w:rPr>
      </w:pPr>
    </w:p>
    <w:p w14:paraId="5A847705" w14:textId="77777777"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The discussions in this workshop focused particularly on the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dimension of this challenge, exploring both current and potential future applications of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models in genotype-to-phenotype (G2P) research. </w:t>
      </w:r>
      <w:r w:rsidR="00A22B2C" w:rsidRPr="00A22B2C">
        <w:rPr>
          <w:rFonts w:asciiTheme="minorHAnsi" w:hAnsiTheme="minorHAnsi" w:cstheme="minorHAnsi"/>
          <w:color w:val="000000" w:themeColor="text1"/>
          <w:lang w:val="en-US"/>
        </w:rPr>
        <w:t xml:space="preserve">To structure the exchange of ideas and explore practical next steps, participants were guided through a series of thematically connected questions. </w:t>
      </w:r>
      <w:r w:rsidR="004834A6">
        <w:rPr>
          <w:rFonts w:asciiTheme="minorHAnsi" w:hAnsiTheme="minorHAnsi" w:cstheme="minorHAnsi"/>
          <w:color w:val="000000" w:themeColor="text1"/>
          <w:lang w:val="en-US"/>
        </w:rPr>
        <w:t>Throughout the workshop</w:t>
      </w:r>
      <w:r w:rsidR="005B7697">
        <w:rPr>
          <w:rFonts w:asciiTheme="minorHAnsi" w:hAnsiTheme="minorHAnsi" w:cstheme="minorHAnsi"/>
          <w:color w:val="000000" w:themeColor="text1"/>
          <w:lang w:val="en-US"/>
        </w:rPr>
        <w:t xml:space="preserve">, participants elaborated on current applications of </w:t>
      </w:r>
      <w:r w:rsidR="005B7697" w:rsidRPr="00D87785">
        <w:rPr>
          <w:rFonts w:asciiTheme="minorHAnsi" w:hAnsiTheme="minorHAnsi" w:cstheme="minorHAnsi"/>
          <w:i/>
          <w:iCs/>
          <w:color w:val="000000" w:themeColor="text1"/>
          <w:lang w:val="en-US"/>
        </w:rPr>
        <w:t>in vitro</w:t>
      </w:r>
      <w:r w:rsidR="005B7697">
        <w:rPr>
          <w:rFonts w:asciiTheme="minorHAnsi" w:hAnsiTheme="minorHAnsi" w:cstheme="minorHAnsi"/>
          <w:color w:val="000000" w:themeColor="text1"/>
          <w:lang w:val="en-US"/>
        </w:rPr>
        <w:t xml:space="preserve"> models in G2P research, identified </w:t>
      </w:r>
      <w:r>
        <w:rPr>
          <w:rFonts w:asciiTheme="minorHAnsi" w:hAnsiTheme="minorHAnsi" w:cstheme="minorHAnsi"/>
          <w:color w:val="000000" w:themeColor="text1"/>
          <w:lang w:val="en-US"/>
        </w:rPr>
        <w:t xml:space="preserve">key hurdles related to the transferability of findings from </w:t>
      </w:r>
      <w:r>
        <w:rPr>
          <w:rFonts w:asciiTheme="minorHAnsi" w:hAnsiTheme="minorHAnsi" w:cstheme="minorHAnsi"/>
          <w:i/>
          <w:color w:val="000000" w:themeColor="text1"/>
          <w:lang w:val="en-US"/>
        </w:rPr>
        <w:t>in vitro</w:t>
      </w:r>
      <w:r>
        <w:rPr>
          <w:rFonts w:asciiTheme="minorHAnsi" w:hAnsiTheme="minorHAnsi" w:cstheme="minorHAnsi"/>
          <w:color w:val="000000" w:themeColor="text1"/>
          <w:lang w:val="en-US"/>
        </w:rPr>
        <w:t xml:space="preserve"> systems to </w:t>
      </w:r>
      <w:r>
        <w:rPr>
          <w:rFonts w:asciiTheme="minorHAnsi" w:hAnsiTheme="minorHAnsi" w:cstheme="minorHAnsi"/>
          <w:i/>
          <w:color w:val="000000" w:themeColor="text1"/>
          <w:lang w:val="en-US"/>
        </w:rPr>
        <w:t>in vivo</w:t>
      </w:r>
      <w:r>
        <w:rPr>
          <w:rFonts w:asciiTheme="minorHAnsi" w:hAnsiTheme="minorHAnsi" w:cstheme="minorHAnsi"/>
          <w:color w:val="000000" w:themeColor="text1"/>
          <w:lang w:val="en-US"/>
        </w:rPr>
        <w:t xml:space="preserve"> contexts</w:t>
      </w:r>
      <w:r w:rsidR="005B7697">
        <w:rPr>
          <w:rFonts w:asciiTheme="minorHAnsi" w:hAnsiTheme="minorHAnsi" w:cstheme="minorHAnsi"/>
          <w:color w:val="000000" w:themeColor="text1"/>
          <w:lang w:val="en-US"/>
        </w:rPr>
        <w:t>,</w:t>
      </w:r>
      <w:r>
        <w:rPr>
          <w:rFonts w:asciiTheme="minorHAnsi" w:hAnsiTheme="minorHAnsi" w:cstheme="minorHAnsi"/>
          <w:color w:val="000000" w:themeColor="text1"/>
          <w:lang w:val="en-US"/>
        </w:rPr>
        <w:t xml:space="preserve"> and explored strategies to overcome them.</w:t>
      </w:r>
    </w:p>
    <w:p w14:paraId="26D6E6A4" w14:textId="77777777" w:rsidR="00A22B2C" w:rsidRDefault="00A22B2C">
      <w:pPr>
        <w:jc w:val="both"/>
        <w:rPr>
          <w:rFonts w:asciiTheme="minorHAnsi" w:hAnsiTheme="minorHAnsi" w:cstheme="minorHAnsi"/>
          <w:color w:val="000000" w:themeColor="text1"/>
          <w:lang w:val="en-US"/>
        </w:rPr>
      </w:pPr>
    </w:p>
    <w:p w14:paraId="1D5AE3AB" w14:textId="60FFAC1A" w:rsidR="007650DF" w:rsidRDefault="000A11A3">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 xml:space="preserve">Participants </w:t>
      </w:r>
      <w:r w:rsidR="00626D0C">
        <w:rPr>
          <w:rFonts w:asciiTheme="minorHAnsi" w:hAnsiTheme="minorHAnsi" w:cstheme="minorHAnsi"/>
          <w:color w:val="000000" w:themeColor="text1"/>
          <w:lang w:val="en-US"/>
        </w:rPr>
        <w:t xml:space="preserve">were split into two breakout groups, using online whiteboards to capture and share their ideas collaboratively. All presentation materials and whiteboard outputs are provided in Annex </w:t>
      </w:r>
      <w:r w:rsidR="00F6589B">
        <w:rPr>
          <w:rFonts w:asciiTheme="minorHAnsi" w:hAnsiTheme="minorHAnsi" w:cstheme="minorHAnsi"/>
          <w:color w:val="000000" w:themeColor="text1"/>
          <w:lang w:val="en-US"/>
        </w:rPr>
        <w:t>4.1</w:t>
      </w:r>
      <w:r w:rsidR="00626D0C">
        <w:rPr>
          <w:rFonts w:asciiTheme="minorHAnsi" w:hAnsiTheme="minorHAnsi" w:cstheme="minorHAnsi"/>
          <w:color w:val="000000" w:themeColor="text1"/>
          <w:lang w:val="en-US"/>
        </w:rPr>
        <w:t>.</w:t>
      </w:r>
    </w:p>
    <w:p w14:paraId="42DCD28A" w14:textId="77777777" w:rsidR="007650DF" w:rsidRDefault="00626D0C">
      <w:pPr>
        <w:jc w:val="both"/>
        <w:rPr>
          <w:rFonts w:asciiTheme="minorHAnsi" w:hAnsiTheme="minorHAnsi" w:cstheme="minorHAnsi"/>
          <w:color w:val="000000" w:themeColor="text1"/>
          <w:lang w:val="en-US"/>
        </w:rPr>
      </w:pPr>
      <w:r>
        <w:rPr>
          <w:rFonts w:asciiTheme="minorHAnsi" w:hAnsiTheme="minorHAnsi" w:cstheme="minorHAnsi"/>
          <w:color w:val="000000" w:themeColor="text1"/>
          <w:lang w:val="en-US"/>
        </w:rPr>
        <w:t>Participants were also encouraged to further contribute their insights by completing the accompanying survey, helping to shape the future direction of this collaborative effort.</w:t>
      </w:r>
    </w:p>
    <w:p w14:paraId="2C85D38C" w14:textId="77777777" w:rsidR="007650DF" w:rsidRDefault="007650DF">
      <w:pPr>
        <w:jc w:val="both"/>
        <w:rPr>
          <w:rFonts w:asciiTheme="minorHAnsi" w:hAnsiTheme="minorHAnsi" w:cstheme="minorHAnsi"/>
          <w:color w:val="000000" w:themeColor="text1"/>
          <w:lang w:val="en-US"/>
        </w:rPr>
      </w:pPr>
    </w:p>
    <w:p w14:paraId="25116C6A" w14:textId="1E0D0776" w:rsidR="007650DF" w:rsidRPr="00D87785" w:rsidRDefault="00626D0C" w:rsidP="00D87785">
      <w:pPr>
        <w:pStyle w:val="berschrift3"/>
        <w:rPr>
          <w:color w:val="1F4E79"/>
        </w:rPr>
      </w:pPr>
      <w:bookmarkStart w:id="18" w:name="_Toc196688412"/>
      <w:r w:rsidRPr="00D87785">
        <w:rPr>
          <w:color w:val="1F4E79"/>
        </w:rPr>
        <w:t>3.1.</w:t>
      </w:r>
      <w:r w:rsidR="000E5E45" w:rsidRPr="00D87785">
        <w:rPr>
          <w:color w:val="1F4E79"/>
        </w:rPr>
        <w:t>3</w:t>
      </w:r>
      <w:r w:rsidRPr="00D87785">
        <w:rPr>
          <w:color w:val="1F4E79"/>
        </w:rPr>
        <w:t xml:space="preserve"> </w:t>
      </w:r>
      <w:r w:rsidR="0041250C" w:rsidRPr="0041250C">
        <w:rPr>
          <w:color w:val="1F4E79"/>
        </w:rPr>
        <w:t>W</w:t>
      </w:r>
      <w:r w:rsidR="00C620DC" w:rsidRPr="00D87785">
        <w:rPr>
          <w:color w:val="1F4E79"/>
        </w:rPr>
        <w:t>orkshop</w:t>
      </w:r>
      <w:r w:rsidR="0041250C" w:rsidRPr="0041250C">
        <w:rPr>
          <w:color w:val="1F4E79"/>
        </w:rPr>
        <w:t xml:space="preserve"> outcomes:</w:t>
      </w:r>
      <w:r w:rsidR="0041250C" w:rsidRPr="00765D71">
        <w:rPr>
          <w:color w:val="1F4E79"/>
        </w:rPr>
        <w:t xml:space="preserve"> </w:t>
      </w:r>
      <w:r w:rsidR="0041250C">
        <w:rPr>
          <w:color w:val="1F4E79"/>
        </w:rPr>
        <w:t>Current status, future goals, and pathways forward</w:t>
      </w:r>
      <w:r w:rsidR="007638C6">
        <w:rPr>
          <w:color w:val="1F4E79"/>
        </w:rPr>
        <w:t xml:space="preserve"> for the application of </w:t>
      </w:r>
      <w:r w:rsidR="007638C6" w:rsidRPr="00D87785">
        <w:rPr>
          <w:i/>
          <w:color w:val="1F4E79"/>
        </w:rPr>
        <w:t>in vitro</w:t>
      </w:r>
      <w:r w:rsidR="007638C6">
        <w:rPr>
          <w:color w:val="1F4E79"/>
        </w:rPr>
        <w:t xml:space="preserve"> models in G2P research toward transferability to </w:t>
      </w:r>
      <w:r w:rsidR="007638C6" w:rsidRPr="00D87785">
        <w:rPr>
          <w:i/>
          <w:color w:val="1F4E79"/>
        </w:rPr>
        <w:t>in vivo</w:t>
      </w:r>
      <w:bookmarkEnd w:id="18"/>
    </w:p>
    <w:p w14:paraId="2878EE15" w14:textId="77777777" w:rsidR="007650DF" w:rsidRPr="00D87785" w:rsidRDefault="007650DF">
      <w:pPr>
        <w:spacing w:after="160" w:line="252" w:lineRule="auto"/>
        <w:contextualSpacing/>
        <w:rPr>
          <w:rFonts w:ascii="Calibri" w:eastAsia="Calibri" w:hAnsi="Calibri" w:cs="Times New Roman"/>
          <w:b/>
          <w:sz w:val="24"/>
          <w:szCs w:val="24"/>
          <w:lang w:val="en-GB" w:eastAsia="en-US"/>
        </w:rPr>
      </w:pPr>
    </w:p>
    <w:p w14:paraId="425271B9" w14:textId="11D97F39" w:rsidR="007650DF" w:rsidRDefault="00626D0C">
      <w:pPr>
        <w:numPr>
          <w:ilvl w:val="0"/>
          <w:numId w:val="7"/>
        </w:numPr>
        <w:tabs>
          <w:tab w:val="left" w:pos="142"/>
        </w:tabs>
        <w:spacing w:beforeAutospacing="1" w:afterAutospacing="1" w:line="240" w:lineRule="auto"/>
        <w:ind w:left="284" w:hanging="284"/>
        <w:contextualSpacing/>
        <w:rPr>
          <w:rFonts w:ascii="Calibri" w:eastAsia="Calibri" w:hAnsi="Calibri" w:cs="Times New Roman"/>
          <w:b/>
          <w:lang w:val="en-US" w:eastAsia="en-US"/>
        </w:rPr>
      </w:pPr>
      <w:r>
        <w:rPr>
          <w:rFonts w:ascii="Calibri" w:eastAsia="Calibri" w:hAnsi="Calibri" w:cs="Times New Roman"/>
          <w:b/>
          <w:lang w:val="en-US" w:eastAsia="en-US"/>
        </w:rPr>
        <w:t xml:space="preserve">Current applications of </w:t>
      </w:r>
      <w:r>
        <w:rPr>
          <w:rFonts w:ascii="Calibri" w:eastAsia="Calibri" w:hAnsi="Calibri" w:cs="Times New Roman"/>
          <w:b/>
          <w:i/>
          <w:lang w:val="en-US" w:eastAsia="en-US"/>
        </w:rPr>
        <w:t xml:space="preserve">in vitro </w:t>
      </w:r>
      <w:r>
        <w:rPr>
          <w:rFonts w:ascii="Calibri" w:eastAsia="Calibri" w:hAnsi="Calibri" w:cs="Times New Roman"/>
          <w:b/>
          <w:lang w:val="en-US" w:eastAsia="en-US"/>
        </w:rPr>
        <w:t>cellular models in G2P research in farm animal</w:t>
      </w:r>
      <w:r w:rsidR="000A11A3">
        <w:rPr>
          <w:rFonts w:ascii="Calibri" w:eastAsia="Calibri" w:hAnsi="Calibri" w:cs="Times New Roman"/>
          <w:b/>
          <w:lang w:val="en-US" w:eastAsia="en-US"/>
        </w:rPr>
        <w:t>s</w:t>
      </w:r>
      <w:r w:rsidR="00896635">
        <w:rPr>
          <w:rFonts w:ascii="Calibri" w:eastAsia="Calibri" w:hAnsi="Calibri" w:cs="Times New Roman"/>
          <w:b/>
          <w:lang w:val="en-US" w:eastAsia="en-US"/>
        </w:rPr>
        <w:t xml:space="preserve"> to support key objectives of the Green Deal and Farm to Fork strategies</w:t>
      </w:r>
      <w:r>
        <w:rPr>
          <w:rFonts w:ascii="Calibri" w:eastAsia="Calibri" w:hAnsi="Calibri" w:cs="Times New Roman"/>
          <w:b/>
          <w:lang w:val="en-US" w:eastAsia="en-US"/>
        </w:rPr>
        <w:br/>
      </w:r>
    </w:p>
    <w:p w14:paraId="6FE194BB" w14:textId="77777777" w:rsidR="007650DF" w:rsidRDefault="00626D0C">
      <w:pPr>
        <w:spacing w:beforeAutospacing="1" w:afterAutospacing="1" w:line="240" w:lineRule="auto"/>
        <w:ind w:left="360" w:hanging="360"/>
        <w:contextualSpacing/>
        <w:rPr>
          <w:rFonts w:ascii="Calibri" w:eastAsia="Calibri" w:hAnsi="Calibri" w:cs="Times New Roman"/>
          <w:lang w:val="en-US" w:eastAsia="en-US"/>
        </w:rPr>
      </w:pPr>
      <w:r>
        <w:rPr>
          <w:rFonts w:ascii="Calibri" w:eastAsia="Calibri" w:hAnsi="Calibri" w:cs="Times New Roman"/>
          <w:lang w:val="en-US" w:eastAsia="en-US"/>
        </w:rPr>
        <w:t>Key examples discussed include:</w:t>
      </w:r>
    </w:p>
    <w:p w14:paraId="3C13B18F" w14:textId="77777777" w:rsidR="007650DF" w:rsidRDefault="00626D0C" w:rsidP="00D44A43">
      <w:pPr>
        <w:numPr>
          <w:ilvl w:val="0"/>
          <w:numId w:val="3"/>
        </w:numPr>
        <w:spacing w:line="360" w:lineRule="auto"/>
        <w:ind w:hanging="357"/>
        <w:contextualSpacing/>
        <w:rPr>
          <w:rFonts w:ascii="Calibri" w:eastAsia="Calibri" w:hAnsi="Calibri" w:cs="Times New Roman"/>
          <w:b/>
          <w:lang w:val="en-US" w:eastAsia="en-US"/>
        </w:rPr>
      </w:pPr>
      <w:r>
        <w:rPr>
          <w:rFonts w:ascii="Calibri" w:eastAsia="Calibri" w:hAnsi="Calibri" w:cs="Times New Roman"/>
          <w:b/>
          <w:lang w:val="en-US" w:eastAsia="en-US"/>
        </w:rPr>
        <w:t>Dissecting the genetic architecture</w:t>
      </w:r>
    </w:p>
    <w:p w14:paraId="5A8F9CE1" w14:textId="77777777" w:rsidR="007650DF" w:rsidRDefault="00626D0C" w:rsidP="00D44A43">
      <w:pPr>
        <w:numPr>
          <w:ilvl w:val="1"/>
          <w:numId w:val="11"/>
        </w:numPr>
        <w:spacing w:line="360" w:lineRule="auto"/>
        <w:ind w:hanging="357"/>
        <w:contextualSpacing/>
        <w:rPr>
          <w:rFonts w:ascii="Calibri" w:eastAsia="Calibri" w:hAnsi="Calibri" w:cs="Times New Roman"/>
          <w:lang w:val="en-US" w:eastAsia="en-US"/>
        </w:rPr>
      </w:pPr>
      <w:r>
        <w:rPr>
          <w:rFonts w:ascii="Calibri" w:eastAsia="Calibri" w:hAnsi="Calibri" w:cs="Times New Roman"/>
          <w:lang w:val="en-US" w:eastAsia="en-US"/>
        </w:rPr>
        <w:t>Cryopreservation of genetic tr</w:t>
      </w:r>
      <w:r w:rsidR="00047983">
        <w:rPr>
          <w:rFonts w:ascii="Calibri" w:eastAsia="Calibri" w:hAnsi="Calibri" w:cs="Times New Roman"/>
          <w:lang w:val="en-US" w:eastAsia="en-US"/>
        </w:rPr>
        <w:t>aits/resources using stem cells</w:t>
      </w:r>
    </w:p>
    <w:p w14:paraId="52824D16" w14:textId="77777777" w:rsidR="007650DF" w:rsidRDefault="00626D0C" w:rsidP="00D44A43">
      <w:pPr>
        <w:numPr>
          <w:ilvl w:val="1"/>
          <w:numId w:val="11"/>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Investigation of genotype-environment interactions e.g. using primary cells</w:t>
      </w:r>
    </w:p>
    <w:p w14:paraId="6BD42DAA" w14:textId="77777777" w:rsidR="007650DF" w:rsidRDefault="00626D0C" w:rsidP="00D44A43">
      <w:pPr>
        <w:numPr>
          <w:ilvl w:val="1"/>
          <w:numId w:val="11"/>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Testing of candidate genes and candidate causal mutations using gene editing</w:t>
      </w:r>
    </w:p>
    <w:p w14:paraId="45E8C972" w14:textId="77777777" w:rsidR="007650DF" w:rsidRDefault="00626D0C" w:rsidP="00D44A43">
      <w:pPr>
        <w:numPr>
          <w:ilvl w:val="0"/>
          <w:numId w:val="3"/>
        </w:numPr>
        <w:spacing w:line="360" w:lineRule="auto"/>
        <w:ind w:hanging="357"/>
        <w:rPr>
          <w:rFonts w:ascii="Calibri" w:eastAsia="Calibri" w:hAnsi="Calibri" w:cs="Times New Roman"/>
          <w:b/>
          <w:lang w:val="en-US" w:eastAsia="en-US"/>
        </w:rPr>
      </w:pPr>
      <w:r>
        <w:rPr>
          <w:rFonts w:ascii="Calibri" w:eastAsia="Calibri" w:hAnsi="Calibri" w:cs="Times New Roman"/>
          <w:b/>
          <w:lang w:val="en-US" w:eastAsia="en-US"/>
        </w:rPr>
        <w:t>Unraveling trait biology</w:t>
      </w:r>
    </w:p>
    <w:p w14:paraId="0E84E977" w14:textId="77777777" w:rsidR="007650DF" w:rsidRDefault="00626D0C" w:rsidP="00D44A43">
      <w:pPr>
        <w:numPr>
          <w:ilvl w:val="1"/>
          <w:numId w:val="12"/>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Modeling of digestion and absorption of nutrients using organoids, or 2D culture</w:t>
      </w:r>
    </w:p>
    <w:p w14:paraId="1BFD45E9" w14:textId="77777777" w:rsidR="007650DF" w:rsidRDefault="00626D0C" w:rsidP="00D44A43">
      <w:pPr>
        <w:numPr>
          <w:ilvl w:val="1"/>
          <w:numId w:val="12"/>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Investigation of heat tolerance</w:t>
      </w:r>
    </w:p>
    <w:p w14:paraId="5E6FC0A7" w14:textId="77777777" w:rsidR="007650DF" w:rsidRDefault="00626D0C" w:rsidP="00D44A43">
      <w:pPr>
        <w:numPr>
          <w:ilvl w:val="1"/>
          <w:numId w:val="12"/>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Investigation of immune response and host-pathogen interactions</w:t>
      </w:r>
    </w:p>
    <w:p w14:paraId="003EABAD" w14:textId="77777777" w:rsidR="007650DF" w:rsidRDefault="00C85329" w:rsidP="00D44A43">
      <w:pPr>
        <w:numPr>
          <w:ilvl w:val="1"/>
          <w:numId w:val="12"/>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lastRenderedPageBreak/>
        <w:t>U</w:t>
      </w:r>
      <w:r w:rsidR="00626D0C">
        <w:rPr>
          <w:rFonts w:ascii="Calibri" w:eastAsia="Calibri" w:hAnsi="Calibri" w:cs="Times New Roman"/>
          <w:lang w:val="en-US" w:eastAsia="en-US"/>
        </w:rPr>
        <w:t>nderstanding gene functions, trait expression, and defining molecular phenotypes for novel biomarkers</w:t>
      </w:r>
    </w:p>
    <w:p w14:paraId="7F4CB9A0" w14:textId="77777777" w:rsidR="007650DF" w:rsidRDefault="00626D0C" w:rsidP="00D44A43">
      <w:pPr>
        <w:numPr>
          <w:ilvl w:val="1"/>
          <w:numId w:val="12"/>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Genome-wide CRISPR screens</w:t>
      </w:r>
    </w:p>
    <w:p w14:paraId="3D7A2EA8" w14:textId="77777777" w:rsidR="007650DF" w:rsidRDefault="00626D0C" w:rsidP="00D44A43">
      <w:pPr>
        <w:numPr>
          <w:ilvl w:val="0"/>
          <w:numId w:val="3"/>
        </w:numPr>
        <w:spacing w:line="360" w:lineRule="auto"/>
        <w:ind w:hanging="357"/>
        <w:rPr>
          <w:rFonts w:ascii="Calibri" w:eastAsia="Calibri" w:hAnsi="Calibri" w:cs="Times New Roman"/>
          <w:b/>
          <w:lang w:val="en-US" w:eastAsia="en-US"/>
        </w:rPr>
      </w:pPr>
      <w:r>
        <w:rPr>
          <w:rFonts w:ascii="Calibri" w:eastAsia="Calibri" w:hAnsi="Calibri" w:cs="Times New Roman"/>
          <w:b/>
          <w:lang w:val="en-US" w:eastAsia="en-US"/>
        </w:rPr>
        <w:t>Industry application</w:t>
      </w:r>
    </w:p>
    <w:p w14:paraId="135CAABE" w14:textId="77777777" w:rsidR="007650DF" w:rsidRDefault="00C85329" w:rsidP="00D44A43">
      <w:pPr>
        <w:numPr>
          <w:ilvl w:val="1"/>
          <w:numId w:val="13"/>
        </w:numPr>
        <w:spacing w:line="360" w:lineRule="auto"/>
        <w:ind w:hanging="357"/>
        <w:rPr>
          <w:rFonts w:ascii="Calibri" w:eastAsia="Calibri" w:hAnsi="Calibri" w:cs="Times New Roman"/>
          <w:lang w:val="en-US" w:eastAsia="en-US"/>
        </w:rPr>
      </w:pPr>
      <w:r>
        <w:rPr>
          <w:rFonts w:ascii="Calibri" w:eastAsia="Calibri" w:hAnsi="Calibri" w:cs="Times New Roman"/>
          <w:lang w:val="en-US" w:eastAsia="en-US"/>
        </w:rPr>
        <w:t>P</w:t>
      </w:r>
      <w:r w:rsidR="00626D0C">
        <w:rPr>
          <w:rFonts w:ascii="Calibri" w:eastAsia="Calibri" w:hAnsi="Calibri" w:cs="Times New Roman"/>
          <w:lang w:val="en-US" w:eastAsia="en-US"/>
        </w:rPr>
        <w:t>roduct testing</w:t>
      </w:r>
    </w:p>
    <w:p w14:paraId="650EE7FA" w14:textId="7E27C86D" w:rsidR="007650DF" w:rsidRDefault="00626D0C">
      <w:pPr>
        <w:spacing w:beforeAutospacing="1" w:afterAutospacing="1" w:line="240" w:lineRule="auto"/>
        <w:jc w:val="both"/>
        <w:rPr>
          <w:rFonts w:ascii="Calibri" w:eastAsia="Calibri" w:hAnsi="Calibri" w:cs="Times New Roman"/>
          <w:lang w:val="en-US" w:eastAsia="en-US"/>
        </w:rPr>
      </w:pPr>
      <w:r>
        <w:rPr>
          <w:rFonts w:ascii="Calibri" w:eastAsia="Calibri" w:hAnsi="Calibri" w:cs="Times New Roman"/>
          <w:lang w:val="en-US" w:eastAsia="en-US"/>
        </w:rPr>
        <w:t xml:space="preserve">Participants engaged in a lively discussion on whether </w:t>
      </w:r>
      <w:r w:rsidR="005A6FB2">
        <w:rPr>
          <w:rFonts w:ascii="Calibri" w:eastAsia="Calibri" w:hAnsi="Calibri" w:cs="Times New Roman"/>
          <w:lang w:val="en-US" w:eastAsia="en-US"/>
        </w:rPr>
        <w:t xml:space="preserve">a </w:t>
      </w:r>
      <w:r>
        <w:rPr>
          <w:rFonts w:ascii="Calibri" w:eastAsia="Calibri" w:hAnsi="Calibri" w:cs="Times New Roman"/>
          <w:lang w:val="en-US" w:eastAsia="en-US"/>
        </w:rPr>
        <w:t xml:space="preserve">EuroFAANG RI should focus on specific traits and tissues, such as gut and liver for efficiency traits (in view of Green Deal and Farm-to-Fork strategy), or remain unrestricted by offering a broad, comprehensive service. A practical </w:t>
      </w:r>
      <w:r w:rsidR="00672C56">
        <w:rPr>
          <w:rFonts w:ascii="Calibri" w:eastAsia="Calibri" w:hAnsi="Calibri" w:cs="Times New Roman"/>
          <w:lang w:val="en-US" w:eastAsia="en-US"/>
        </w:rPr>
        <w:t xml:space="preserve">way forward that emerged from the discussion </w:t>
      </w:r>
      <w:r>
        <w:rPr>
          <w:rFonts w:ascii="Calibri" w:eastAsia="Calibri" w:hAnsi="Calibri" w:cs="Times New Roman"/>
          <w:lang w:val="en-US" w:eastAsia="en-US"/>
        </w:rPr>
        <w:t>is to initially prioritize the development of the most in-demand models, while maintaining the long-term ambition of establishing a comprehensive service portfolio.</w:t>
      </w:r>
    </w:p>
    <w:p w14:paraId="07E6616D" w14:textId="77777777" w:rsidR="007650DF" w:rsidRDefault="00626D0C">
      <w:pPr>
        <w:numPr>
          <w:ilvl w:val="0"/>
          <w:numId w:val="8"/>
        </w:numPr>
        <w:spacing w:beforeAutospacing="1" w:afterAutospacing="1" w:line="240" w:lineRule="auto"/>
        <w:ind w:left="284" w:hanging="284"/>
        <w:contextualSpacing/>
        <w:rPr>
          <w:rFonts w:ascii="Calibri" w:eastAsia="Calibri" w:hAnsi="Calibri" w:cs="Times New Roman"/>
          <w:b/>
          <w:lang w:val="en-US" w:eastAsia="en-US"/>
        </w:rPr>
      </w:pPr>
      <w:r>
        <w:rPr>
          <w:rFonts w:ascii="Calibri" w:eastAsia="Calibri" w:hAnsi="Calibri" w:cs="Times New Roman"/>
          <w:b/>
          <w:lang w:val="en-US" w:eastAsia="en-US"/>
        </w:rPr>
        <w:t xml:space="preserve">Significant barriers and limitations in applying </w:t>
      </w:r>
      <w:r>
        <w:rPr>
          <w:rFonts w:ascii="Calibri" w:eastAsia="Calibri" w:hAnsi="Calibri" w:cs="Times New Roman"/>
          <w:b/>
          <w:i/>
          <w:lang w:val="en-US" w:eastAsia="en-US"/>
        </w:rPr>
        <w:t xml:space="preserve">in vitro </w:t>
      </w:r>
      <w:r>
        <w:rPr>
          <w:rFonts w:ascii="Calibri" w:eastAsia="Calibri" w:hAnsi="Calibri" w:cs="Times New Roman"/>
          <w:b/>
          <w:lang w:val="en-US" w:eastAsia="en-US"/>
        </w:rPr>
        <w:t>cellular models</w:t>
      </w:r>
    </w:p>
    <w:p w14:paraId="2C3452E3" w14:textId="77777777" w:rsidR="007650DF" w:rsidRDefault="007650DF">
      <w:pPr>
        <w:spacing w:beforeAutospacing="1" w:afterAutospacing="1" w:line="240" w:lineRule="auto"/>
        <w:contextualSpacing/>
        <w:rPr>
          <w:rFonts w:ascii="Calibri" w:eastAsia="Calibri" w:hAnsi="Calibri" w:cs="Times New Roman"/>
          <w:b/>
          <w:lang w:val="en-US" w:eastAsia="en-US"/>
        </w:rPr>
      </w:pPr>
    </w:p>
    <w:p w14:paraId="6E5CA275" w14:textId="77777777" w:rsidR="007650DF" w:rsidRDefault="00626D0C" w:rsidP="00D44A43">
      <w:pPr>
        <w:spacing w:before="100" w:beforeAutospacing="1" w:after="100" w:afterAutospacing="1" w:line="240" w:lineRule="auto"/>
        <w:contextualSpacing/>
        <w:rPr>
          <w:rFonts w:ascii="Calibri" w:eastAsia="Calibri" w:hAnsi="Calibri" w:cs="Times New Roman"/>
          <w:lang w:val="en-US" w:eastAsia="en-US"/>
        </w:rPr>
      </w:pPr>
      <w:r>
        <w:rPr>
          <w:rFonts w:ascii="Calibri" w:eastAsia="Calibri" w:hAnsi="Calibri" w:cs="Times New Roman"/>
          <w:lang w:val="en-US" w:eastAsia="en-US"/>
        </w:rPr>
        <w:t xml:space="preserve">During the discussion, participants identified several limitations associated with the application of </w:t>
      </w:r>
      <w:r>
        <w:rPr>
          <w:rFonts w:ascii="Calibri" w:eastAsia="Calibri" w:hAnsi="Calibri" w:cs="Times New Roman"/>
          <w:i/>
          <w:lang w:val="en-US" w:eastAsia="en-US"/>
        </w:rPr>
        <w:t>in vitro</w:t>
      </w:r>
      <w:r>
        <w:rPr>
          <w:rFonts w:ascii="Calibri" w:eastAsia="Calibri" w:hAnsi="Calibri" w:cs="Times New Roman"/>
          <w:lang w:val="en-US" w:eastAsia="en-US"/>
        </w:rPr>
        <w:t xml:space="preserve"> models, some of which are general, while others are specific to particular models:</w:t>
      </w:r>
    </w:p>
    <w:p w14:paraId="72D15418" w14:textId="77777777" w:rsidR="00D44A43" w:rsidRDefault="00D44A43" w:rsidP="00D44A43">
      <w:pPr>
        <w:spacing w:before="100" w:beforeAutospacing="1" w:after="100" w:afterAutospacing="1" w:line="240" w:lineRule="auto"/>
        <w:contextualSpacing/>
        <w:rPr>
          <w:rFonts w:ascii="Calibri" w:eastAsia="Calibri" w:hAnsi="Calibri" w:cs="Times New Roman"/>
          <w:lang w:val="en-US" w:eastAsia="en-US"/>
        </w:rPr>
      </w:pPr>
    </w:p>
    <w:p w14:paraId="639404A4" w14:textId="77777777" w:rsidR="007650DF" w:rsidRDefault="00F130BD" w:rsidP="005D5AF1">
      <w:pPr>
        <w:numPr>
          <w:ilvl w:val="0"/>
          <w:numId w:val="10"/>
        </w:numPr>
        <w:spacing w:line="360" w:lineRule="auto"/>
        <w:ind w:left="714" w:hanging="430"/>
        <w:contextualSpacing/>
        <w:rPr>
          <w:rFonts w:ascii="Calibri" w:eastAsia="Calibri" w:hAnsi="Calibri" w:cs="Times New Roman"/>
          <w:lang w:val="en-US" w:eastAsia="en-US"/>
        </w:rPr>
      </w:pPr>
      <w:r>
        <w:rPr>
          <w:rFonts w:ascii="Calibri" w:eastAsia="Calibri" w:hAnsi="Calibri" w:cs="Times New Roman"/>
          <w:lang w:val="en-US" w:eastAsia="en-US"/>
        </w:rPr>
        <w:t>Limited availability of cell culture models, including</w:t>
      </w:r>
      <w:r w:rsidR="00626D0C">
        <w:rPr>
          <w:rFonts w:ascii="Calibri" w:eastAsia="Calibri" w:hAnsi="Calibri" w:cs="Times New Roman"/>
          <w:lang w:val="en-US" w:eastAsia="en-US"/>
        </w:rPr>
        <w:t xml:space="preserve"> immortalized cell lines, </w:t>
      </w:r>
      <w:r>
        <w:rPr>
          <w:rFonts w:ascii="Calibri" w:eastAsia="Calibri" w:hAnsi="Calibri" w:cs="Times New Roman"/>
          <w:lang w:val="en-US" w:eastAsia="en-US"/>
        </w:rPr>
        <w:t xml:space="preserve">with </w:t>
      </w:r>
      <w:r w:rsidR="00626D0C">
        <w:rPr>
          <w:rFonts w:ascii="Calibri" w:eastAsia="Calibri" w:hAnsi="Calibri" w:cs="Times New Roman"/>
          <w:lang w:val="en-US" w:eastAsia="en-US"/>
        </w:rPr>
        <w:t xml:space="preserve">pronounced </w:t>
      </w:r>
      <w:r>
        <w:rPr>
          <w:rFonts w:ascii="Calibri" w:eastAsia="Calibri" w:hAnsi="Calibri" w:cs="Times New Roman"/>
          <w:lang w:val="en-US" w:eastAsia="en-US"/>
        </w:rPr>
        <w:t xml:space="preserve">gaps </w:t>
      </w:r>
      <w:r w:rsidR="00626D0C">
        <w:rPr>
          <w:rFonts w:ascii="Calibri" w:eastAsia="Calibri" w:hAnsi="Calibri" w:cs="Times New Roman"/>
          <w:lang w:val="en-US" w:eastAsia="en-US"/>
        </w:rPr>
        <w:t>in certain taxa such as avians or aquaculture species</w:t>
      </w:r>
    </w:p>
    <w:p w14:paraId="40830562"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Difficulties to immortalize some cell types (such as myeloid cells)</w:t>
      </w:r>
    </w:p>
    <w:p w14:paraId="7D725977" w14:textId="2F82A02E" w:rsidR="007650DF" w:rsidRDefault="004D01D3"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Occasional m</w:t>
      </w:r>
      <w:r w:rsidR="00F130BD">
        <w:rPr>
          <w:rFonts w:ascii="Calibri" w:eastAsia="Calibri" w:hAnsi="Calibri" w:cs="Times New Roman"/>
          <w:lang w:val="en-US" w:eastAsia="en-US"/>
        </w:rPr>
        <w:t>isidentification</w:t>
      </w:r>
      <w:r w:rsidR="00626D0C">
        <w:rPr>
          <w:rFonts w:ascii="Calibri" w:eastAsia="Calibri" w:hAnsi="Calibri" w:cs="Times New Roman"/>
          <w:lang w:val="en-US" w:eastAsia="en-US"/>
        </w:rPr>
        <w:t xml:space="preserve"> </w:t>
      </w:r>
      <w:r w:rsidR="00F130BD">
        <w:rPr>
          <w:rFonts w:ascii="Calibri" w:eastAsia="Calibri" w:hAnsi="Calibri" w:cs="Times New Roman"/>
          <w:lang w:val="en-US" w:eastAsia="en-US"/>
        </w:rPr>
        <w:t>or incorrect</w:t>
      </w:r>
      <w:r w:rsidR="00626D0C">
        <w:rPr>
          <w:rFonts w:ascii="Calibri" w:eastAsia="Calibri" w:hAnsi="Calibri" w:cs="Times New Roman"/>
          <w:lang w:val="en-US" w:eastAsia="en-US"/>
        </w:rPr>
        <w:t xml:space="preserve"> assign</w:t>
      </w:r>
      <w:r w:rsidR="007B1F04">
        <w:rPr>
          <w:rFonts w:ascii="Calibri" w:eastAsia="Calibri" w:hAnsi="Calibri" w:cs="Times New Roman"/>
          <w:lang w:val="en-US" w:eastAsia="en-US"/>
        </w:rPr>
        <w:t>ment</w:t>
      </w:r>
      <w:r w:rsidR="00626D0C">
        <w:rPr>
          <w:rFonts w:ascii="Calibri" w:eastAsia="Calibri" w:hAnsi="Calibri" w:cs="Times New Roman"/>
          <w:lang w:val="en-US" w:eastAsia="en-US"/>
        </w:rPr>
        <w:t xml:space="preserve"> </w:t>
      </w:r>
      <w:r w:rsidR="00F130BD">
        <w:rPr>
          <w:rFonts w:ascii="Calibri" w:eastAsia="Calibri" w:hAnsi="Calibri" w:cs="Times New Roman"/>
          <w:lang w:val="en-US" w:eastAsia="en-US"/>
        </w:rPr>
        <w:t xml:space="preserve">of </w:t>
      </w:r>
      <w:r w:rsidR="00626D0C">
        <w:rPr>
          <w:rFonts w:ascii="Calibri" w:eastAsia="Calibri" w:hAnsi="Calibri" w:cs="Times New Roman"/>
          <w:lang w:val="en-US" w:eastAsia="en-US"/>
        </w:rPr>
        <w:t xml:space="preserve">cell type </w:t>
      </w:r>
      <w:r w:rsidR="00F130BD">
        <w:rPr>
          <w:rFonts w:ascii="Calibri" w:eastAsia="Calibri" w:hAnsi="Calibri" w:cs="Times New Roman"/>
          <w:lang w:val="en-US" w:eastAsia="en-US"/>
        </w:rPr>
        <w:t>in</w:t>
      </w:r>
      <w:r w:rsidR="00626D0C">
        <w:rPr>
          <w:rFonts w:ascii="Calibri" w:eastAsia="Calibri" w:hAnsi="Calibri" w:cs="Times New Roman"/>
          <w:lang w:val="en-US" w:eastAsia="en-US"/>
        </w:rPr>
        <w:t xml:space="preserve"> </w:t>
      </w:r>
      <w:r w:rsidR="00F130BD">
        <w:rPr>
          <w:rFonts w:ascii="Calibri" w:eastAsia="Calibri" w:hAnsi="Calibri" w:cs="Times New Roman"/>
          <w:lang w:val="en-US" w:eastAsia="en-US"/>
        </w:rPr>
        <w:t>existing cell lines</w:t>
      </w:r>
    </w:p>
    <w:p w14:paraId="26DF1468"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Insufficient information about some cell lines</w:t>
      </w:r>
    </w:p>
    <w:p w14:paraId="571E9C17" w14:textId="77777777" w:rsidR="007650DF" w:rsidRDefault="00F130BD"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Shortage of markers for verifying</w:t>
      </w:r>
      <w:r w:rsidR="00626D0C">
        <w:rPr>
          <w:rFonts w:ascii="Calibri" w:eastAsia="Calibri" w:hAnsi="Calibri" w:cs="Times New Roman"/>
          <w:lang w:val="en-US" w:eastAsia="en-US"/>
        </w:rPr>
        <w:t xml:space="preserve"> cell type</w:t>
      </w:r>
      <w:r>
        <w:rPr>
          <w:rFonts w:ascii="Calibri" w:eastAsia="Calibri" w:hAnsi="Calibri" w:cs="Times New Roman"/>
          <w:lang w:val="en-US" w:eastAsia="en-US"/>
        </w:rPr>
        <w:t xml:space="preserve"> identi</w:t>
      </w:r>
      <w:r w:rsidR="004D01D3">
        <w:rPr>
          <w:rFonts w:ascii="Calibri" w:eastAsia="Calibri" w:hAnsi="Calibri" w:cs="Times New Roman"/>
          <w:lang w:val="en-US" w:eastAsia="en-US"/>
        </w:rPr>
        <w:t>t</w:t>
      </w:r>
      <w:r>
        <w:rPr>
          <w:rFonts w:ascii="Calibri" w:eastAsia="Calibri" w:hAnsi="Calibri" w:cs="Times New Roman"/>
          <w:lang w:val="en-US" w:eastAsia="en-US"/>
        </w:rPr>
        <w:t>y</w:t>
      </w:r>
    </w:p>
    <w:p w14:paraId="4C57150B"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 xml:space="preserve">Problems with genome instability in immortalized cell lines (e.g. ploidy) </w:t>
      </w:r>
    </w:p>
    <w:p w14:paraId="43CF160C" w14:textId="77777777" w:rsidR="007650DF" w:rsidRDefault="00F130BD"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O</w:t>
      </w:r>
      <w:r w:rsidR="00055864">
        <w:rPr>
          <w:rFonts w:ascii="Calibri" w:eastAsia="Calibri" w:hAnsi="Calibri" w:cs="Times New Roman"/>
          <w:lang w:val="en-US" w:eastAsia="en-US"/>
        </w:rPr>
        <w:t xml:space="preserve">rganoids </w:t>
      </w:r>
      <w:r>
        <w:rPr>
          <w:rFonts w:ascii="Calibri" w:eastAsia="Calibri" w:hAnsi="Calibri" w:cs="Times New Roman"/>
          <w:lang w:val="en-US" w:eastAsia="en-US"/>
        </w:rPr>
        <w:t>may lack cell types present in native tissue</w:t>
      </w:r>
      <w:r w:rsidR="00055864">
        <w:rPr>
          <w:rFonts w:ascii="Calibri" w:eastAsia="Calibri" w:hAnsi="Calibri" w:cs="Times New Roman"/>
          <w:lang w:val="en-US" w:eastAsia="en-US"/>
        </w:rPr>
        <w:t>; for example immune cells are typically absent</w:t>
      </w:r>
    </w:p>
    <w:p w14:paraId="7A8D9609" w14:textId="77777777" w:rsidR="007650DF" w:rsidRDefault="00F130BD"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Technical barriers in using organoids, such as</w:t>
      </w:r>
      <w:r w:rsidR="00626D0C">
        <w:rPr>
          <w:rFonts w:ascii="Calibri" w:eastAsia="Calibri" w:hAnsi="Calibri" w:cs="Times New Roman"/>
          <w:lang w:val="en-US" w:eastAsia="en-US"/>
        </w:rPr>
        <w:t xml:space="preserve"> </w:t>
      </w:r>
      <w:r>
        <w:rPr>
          <w:rFonts w:ascii="Calibri" w:eastAsia="Calibri" w:hAnsi="Calibri" w:cs="Times New Roman"/>
          <w:lang w:val="en-US" w:eastAsia="en-US"/>
        </w:rPr>
        <w:t xml:space="preserve">efficient </w:t>
      </w:r>
      <w:r w:rsidR="00626D0C">
        <w:rPr>
          <w:rFonts w:ascii="Calibri" w:eastAsia="Calibri" w:hAnsi="Calibri" w:cs="Times New Roman"/>
          <w:lang w:val="en-US" w:eastAsia="en-US"/>
        </w:rPr>
        <w:t>sgRNA delivery</w:t>
      </w:r>
    </w:p>
    <w:p w14:paraId="24C1C2A5"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 xml:space="preserve">Technological variation </w:t>
      </w:r>
      <w:r w:rsidR="00F130BD">
        <w:rPr>
          <w:rFonts w:ascii="Calibri" w:eastAsia="Calibri" w:hAnsi="Calibri" w:cs="Times New Roman"/>
          <w:lang w:val="en-US" w:eastAsia="en-US"/>
        </w:rPr>
        <w:t>frequently exceeds</w:t>
      </w:r>
      <w:r>
        <w:rPr>
          <w:rFonts w:ascii="Calibri" w:eastAsia="Calibri" w:hAnsi="Calibri" w:cs="Times New Roman"/>
          <w:lang w:val="en-US" w:eastAsia="en-US"/>
        </w:rPr>
        <w:t xml:space="preserve"> biological variation</w:t>
      </w:r>
    </w:p>
    <w:p w14:paraId="3854F2A8" w14:textId="77777777" w:rsidR="007650DF" w:rsidRDefault="00F130BD"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 xml:space="preserve">The </w:t>
      </w:r>
      <w:r w:rsidR="00626D0C">
        <w:rPr>
          <w:rFonts w:ascii="Calibri" w:eastAsia="Calibri" w:hAnsi="Calibri" w:cs="Times New Roman"/>
          <w:lang w:val="en-US" w:eastAsia="en-US"/>
        </w:rPr>
        <w:t xml:space="preserve">physiological state </w:t>
      </w:r>
      <w:r>
        <w:rPr>
          <w:rFonts w:ascii="Calibri" w:eastAsia="Calibri" w:hAnsi="Calibri" w:cs="Times New Roman"/>
          <w:lang w:val="en-US" w:eastAsia="en-US"/>
        </w:rPr>
        <w:t xml:space="preserve">or environment </w:t>
      </w:r>
      <w:r w:rsidR="00626D0C">
        <w:rPr>
          <w:rFonts w:ascii="Calibri" w:eastAsia="Calibri" w:hAnsi="Calibri" w:cs="Times New Roman"/>
          <w:lang w:val="en-US" w:eastAsia="en-US"/>
        </w:rPr>
        <w:t xml:space="preserve">of the </w:t>
      </w:r>
      <w:r>
        <w:rPr>
          <w:rFonts w:ascii="Calibri" w:eastAsia="Calibri" w:hAnsi="Calibri" w:cs="Times New Roman"/>
          <w:lang w:val="en-US" w:eastAsia="en-US"/>
        </w:rPr>
        <w:t xml:space="preserve">donor </w:t>
      </w:r>
      <w:r w:rsidR="00626D0C">
        <w:rPr>
          <w:rFonts w:ascii="Calibri" w:eastAsia="Calibri" w:hAnsi="Calibri" w:cs="Times New Roman"/>
          <w:lang w:val="en-US" w:eastAsia="en-US"/>
        </w:rPr>
        <w:t xml:space="preserve">animal may influence function of the cellular model, e.g. via </w:t>
      </w:r>
      <w:r>
        <w:rPr>
          <w:rFonts w:ascii="Calibri" w:eastAsia="Calibri" w:hAnsi="Calibri" w:cs="Times New Roman"/>
          <w:lang w:val="en-US" w:eastAsia="en-US"/>
        </w:rPr>
        <w:t>epigenetic mechanisms</w:t>
      </w:r>
    </w:p>
    <w:p w14:paraId="2DEDF225"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Throughput could currently be a challenge with more advanced cellular models</w:t>
      </w:r>
    </w:p>
    <w:p w14:paraId="1C6F4A7D"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 xml:space="preserve">The complex biology linking external and molecular traits presents another challenge when attempting to connect </w:t>
      </w:r>
      <w:r>
        <w:rPr>
          <w:rFonts w:ascii="Calibri" w:eastAsia="Calibri" w:hAnsi="Calibri" w:cs="Times New Roman"/>
          <w:i/>
          <w:lang w:val="en-US" w:eastAsia="en-US"/>
        </w:rPr>
        <w:t>in vitro</w:t>
      </w:r>
      <w:r>
        <w:rPr>
          <w:rFonts w:ascii="Calibri" w:eastAsia="Calibri" w:hAnsi="Calibri" w:cs="Times New Roman"/>
          <w:lang w:val="en-US" w:eastAsia="en-US"/>
        </w:rPr>
        <w:t xml:space="preserve"> and </w:t>
      </w:r>
      <w:r>
        <w:rPr>
          <w:rFonts w:ascii="Calibri" w:eastAsia="Calibri" w:hAnsi="Calibri" w:cs="Times New Roman"/>
          <w:i/>
          <w:lang w:val="en-US" w:eastAsia="en-US"/>
        </w:rPr>
        <w:t>in vivo</w:t>
      </w:r>
      <w:r>
        <w:rPr>
          <w:rFonts w:ascii="Calibri" w:eastAsia="Calibri" w:hAnsi="Calibri" w:cs="Times New Roman"/>
          <w:lang w:val="en-US" w:eastAsia="en-US"/>
        </w:rPr>
        <w:t xml:space="preserve"> research</w:t>
      </w:r>
    </w:p>
    <w:p w14:paraId="7489571A" w14:textId="77777777" w:rsidR="007650DF" w:rsidRDefault="00626D0C" w:rsidP="00D44A43">
      <w:pPr>
        <w:numPr>
          <w:ilvl w:val="0"/>
          <w:numId w:val="10"/>
        </w:numPr>
        <w:spacing w:line="360" w:lineRule="auto"/>
        <w:ind w:left="714" w:hanging="357"/>
        <w:contextualSpacing/>
        <w:rPr>
          <w:rFonts w:ascii="Calibri" w:eastAsia="Calibri" w:hAnsi="Calibri" w:cs="Times New Roman"/>
          <w:lang w:val="en-US" w:eastAsia="en-US"/>
        </w:rPr>
      </w:pPr>
      <w:r>
        <w:rPr>
          <w:rFonts w:ascii="Calibri" w:eastAsia="Calibri" w:hAnsi="Calibri" w:cs="Times New Roman"/>
          <w:lang w:val="en-US" w:eastAsia="en-US"/>
        </w:rPr>
        <w:t>Cellular models are currently not advanced enough</w:t>
      </w:r>
      <w:r w:rsidR="004D01D3">
        <w:rPr>
          <w:rFonts w:ascii="Calibri" w:eastAsia="Calibri" w:hAnsi="Calibri" w:cs="Times New Roman"/>
          <w:lang w:val="en-US" w:eastAsia="en-US"/>
        </w:rPr>
        <w:t xml:space="preserve"> to be attractive for industry, breeding companies</w:t>
      </w:r>
    </w:p>
    <w:p w14:paraId="53DF7B67" w14:textId="77777777" w:rsidR="007650DF" w:rsidRDefault="007650DF">
      <w:pPr>
        <w:spacing w:beforeAutospacing="1" w:afterAutospacing="1" w:line="240" w:lineRule="auto"/>
        <w:contextualSpacing/>
        <w:rPr>
          <w:rFonts w:ascii="Calibri" w:eastAsia="Calibri" w:hAnsi="Calibri" w:cs="Times New Roman"/>
          <w:lang w:val="en-US" w:eastAsia="en-US"/>
        </w:rPr>
      </w:pPr>
    </w:p>
    <w:p w14:paraId="3F8DFB1B" w14:textId="02CB3F21" w:rsidR="007650DF" w:rsidRDefault="00626D0C">
      <w:pPr>
        <w:spacing w:beforeAutospacing="1" w:afterAutospacing="1" w:line="240" w:lineRule="auto"/>
        <w:contextualSpacing/>
        <w:jc w:val="both"/>
        <w:rPr>
          <w:rFonts w:ascii="Calibri" w:eastAsia="Calibri" w:hAnsi="Calibri" w:cs="Times New Roman"/>
          <w:lang w:val="en-US" w:eastAsia="en-US"/>
        </w:rPr>
      </w:pPr>
      <w:r>
        <w:rPr>
          <w:rFonts w:ascii="Calibri" w:eastAsia="Calibri" w:hAnsi="Calibri" w:cs="Times New Roman"/>
          <w:lang w:val="en-US" w:eastAsia="en-US"/>
        </w:rPr>
        <w:t>Participant</w:t>
      </w:r>
      <w:r w:rsidR="00DE68E2">
        <w:rPr>
          <w:rFonts w:ascii="Calibri" w:eastAsia="Calibri" w:hAnsi="Calibri" w:cs="Times New Roman"/>
          <w:lang w:val="en-US" w:eastAsia="en-US"/>
        </w:rPr>
        <w:t>s</w:t>
      </w:r>
      <w:r>
        <w:rPr>
          <w:rFonts w:ascii="Calibri" w:eastAsia="Calibri" w:hAnsi="Calibri" w:cs="Times New Roman"/>
          <w:lang w:val="en-US" w:eastAsia="en-US"/>
        </w:rPr>
        <w:t xml:space="preserve"> expressed significant concerns about the transferability of findings from </w:t>
      </w:r>
      <w:r>
        <w:rPr>
          <w:rFonts w:ascii="Calibri" w:eastAsia="Calibri" w:hAnsi="Calibri" w:cs="Times New Roman"/>
          <w:i/>
          <w:lang w:val="en-US" w:eastAsia="en-US"/>
        </w:rPr>
        <w:t>in vitro</w:t>
      </w:r>
      <w:r>
        <w:rPr>
          <w:rFonts w:ascii="Calibri" w:eastAsia="Calibri" w:hAnsi="Calibri" w:cs="Times New Roman"/>
          <w:lang w:val="en-US" w:eastAsia="en-US"/>
        </w:rPr>
        <w:t xml:space="preserve"> cellular models to </w:t>
      </w:r>
      <w:r>
        <w:rPr>
          <w:rFonts w:ascii="Calibri" w:eastAsia="Calibri" w:hAnsi="Calibri" w:cs="Times New Roman"/>
          <w:i/>
          <w:lang w:val="en-US" w:eastAsia="en-US"/>
        </w:rPr>
        <w:t>in vivo</w:t>
      </w:r>
      <w:r>
        <w:rPr>
          <w:rFonts w:ascii="Calibri" w:eastAsia="Calibri" w:hAnsi="Calibri" w:cs="Times New Roman"/>
          <w:lang w:val="en-US" w:eastAsia="en-US"/>
        </w:rPr>
        <w:t xml:space="preserve"> systems. They emphasized the need for more research and for concept or case studies to demonstrate the utility of </w:t>
      </w:r>
      <w:r>
        <w:rPr>
          <w:rFonts w:ascii="Calibri" w:eastAsia="Calibri" w:hAnsi="Calibri" w:cs="Times New Roman"/>
          <w:i/>
          <w:lang w:val="en-US" w:eastAsia="en-US"/>
        </w:rPr>
        <w:t>in vitro</w:t>
      </w:r>
      <w:r>
        <w:rPr>
          <w:rFonts w:ascii="Calibri" w:eastAsia="Calibri" w:hAnsi="Calibri" w:cs="Times New Roman"/>
          <w:lang w:val="en-US" w:eastAsia="en-US"/>
        </w:rPr>
        <w:t xml:space="preserve"> cellular models.</w:t>
      </w:r>
    </w:p>
    <w:p w14:paraId="44E708BC" w14:textId="77777777" w:rsidR="007650DF" w:rsidRDefault="007650DF">
      <w:pPr>
        <w:spacing w:beforeAutospacing="1" w:afterAutospacing="1" w:line="240" w:lineRule="auto"/>
        <w:contextualSpacing/>
        <w:rPr>
          <w:rFonts w:ascii="Calibri" w:eastAsia="Calibri" w:hAnsi="Calibri" w:cs="Times New Roman"/>
          <w:lang w:val="en-US" w:eastAsia="en-US"/>
        </w:rPr>
      </w:pPr>
    </w:p>
    <w:p w14:paraId="6E46EA89" w14:textId="77777777" w:rsidR="007650DF" w:rsidRDefault="00626D0C">
      <w:pPr>
        <w:numPr>
          <w:ilvl w:val="0"/>
          <w:numId w:val="9"/>
        </w:numPr>
        <w:spacing w:beforeAutospacing="1" w:afterAutospacing="1" w:line="240" w:lineRule="auto"/>
        <w:ind w:left="284" w:hanging="284"/>
        <w:contextualSpacing/>
        <w:rPr>
          <w:rFonts w:ascii="Calibri" w:eastAsia="Calibri" w:hAnsi="Calibri" w:cs="Times New Roman"/>
          <w:b/>
          <w:lang w:val="en-US" w:eastAsia="en-US"/>
        </w:rPr>
      </w:pPr>
      <w:r>
        <w:rPr>
          <w:rFonts w:ascii="Calibri" w:eastAsia="Calibri" w:hAnsi="Calibri" w:cs="Times New Roman"/>
          <w:b/>
          <w:lang w:val="en-US" w:eastAsia="en-US"/>
        </w:rPr>
        <w:t>Suggested solutions, and essential requirements</w:t>
      </w:r>
      <w:r>
        <w:rPr>
          <w:rFonts w:ascii="Calibri" w:eastAsia="Calibri" w:hAnsi="Calibri" w:cs="Times New Roman"/>
          <w:b/>
          <w:lang w:val="en-US" w:eastAsia="en-US"/>
        </w:rPr>
        <w:br/>
      </w:r>
    </w:p>
    <w:p w14:paraId="31A08C98" w14:textId="77777777" w:rsidR="00D44A43" w:rsidRPr="00D44A43" w:rsidRDefault="00D44A43" w:rsidP="00D44A43">
      <w:pPr>
        <w:pStyle w:val="StandardWeb"/>
        <w:rPr>
          <w:rFonts w:asciiTheme="minorHAnsi" w:eastAsia="Calibri" w:hAnsiTheme="minorHAnsi" w:cstheme="minorHAnsi"/>
          <w:sz w:val="22"/>
          <w:szCs w:val="22"/>
        </w:rPr>
      </w:pPr>
      <w:r w:rsidRPr="00D44A43">
        <w:rPr>
          <w:rFonts w:asciiTheme="minorHAnsi" w:eastAsia="Calibri" w:hAnsiTheme="minorHAnsi" w:cstheme="minorHAnsi"/>
          <w:sz w:val="22"/>
          <w:szCs w:val="22"/>
        </w:rPr>
        <w:t xml:space="preserve">The workshop discussions identified several strategic directions and technical requirements to improve the utility and reliability of </w:t>
      </w:r>
      <w:r w:rsidRPr="00D87785">
        <w:rPr>
          <w:rFonts w:asciiTheme="minorHAnsi" w:eastAsia="Calibri" w:hAnsiTheme="minorHAnsi" w:cstheme="minorHAnsi"/>
          <w:i/>
          <w:iCs/>
          <w:sz w:val="22"/>
          <w:szCs w:val="22"/>
        </w:rPr>
        <w:t>in vitro</w:t>
      </w:r>
      <w:r w:rsidRPr="00D44A43">
        <w:rPr>
          <w:rFonts w:asciiTheme="minorHAnsi" w:eastAsia="Calibri" w:hAnsiTheme="minorHAnsi" w:cstheme="minorHAnsi"/>
          <w:sz w:val="22"/>
          <w:szCs w:val="22"/>
        </w:rPr>
        <w:t xml:space="preserve"> systems for genotype-to-phenotype research:</w:t>
      </w:r>
    </w:p>
    <w:p w14:paraId="773E82C0" w14:textId="77777777" w:rsidR="00D44A43" w:rsidRDefault="00D44A43" w:rsidP="005D5AF1">
      <w:pPr>
        <w:numPr>
          <w:ilvl w:val="0"/>
          <w:numId w:val="14"/>
        </w:numPr>
        <w:spacing w:line="360" w:lineRule="auto"/>
        <w:ind w:hanging="436"/>
        <w:contextualSpacing/>
        <w:rPr>
          <w:rFonts w:ascii="Calibri" w:eastAsia="Calibri" w:hAnsi="Calibri" w:cs="Times New Roman"/>
          <w:lang w:val="en-US" w:eastAsia="en-US"/>
        </w:rPr>
      </w:pPr>
      <w:r w:rsidRPr="00D44A43">
        <w:rPr>
          <w:rFonts w:ascii="Calibri" w:eastAsia="Calibri" w:hAnsi="Calibri" w:cs="Times New Roman"/>
          <w:lang w:val="en-US" w:eastAsia="en-US"/>
        </w:rPr>
        <w:t xml:space="preserve">Promote the systematic characterization and development of well-defined, immortalized cell lines </w:t>
      </w:r>
    </w:p>
    <w:p w14:paraId="342AF04B" w14:textId="77777777" w:rsidR="007650DF" w:rsidRDefault="00D44A43" w:rsidP="005D5AF1">
      <w:pPr>
        <w:numPr>
          <w:ilvl w:val="0"/>
          <w:numId w:val="14"/>
        </w:numPr>
        <w:spacing w:line="360" w:lineRule="auto"/>
        <w:ind w:hanging="436"/>
        <w:contextualSpacing/>
        <w:rPr>
          <w:rFonts w:ascii="Calibri" w:eastAsia="Calibri" w:hAnsi="Calibri" w:cs="Times New Roman"/>
          <w:lang w:val="en-US" w:eastAsia="en-US"/>
        </w:rPr>
      </w:pPr>
      <w:r w:rsidRPr="00D44A43">
        <w:rPr>
          <w:rFonts w:asciiTheme="minorHAnsi" w:eastAsia="Calibri" w:hAnsiTheme="minorHAnsi" w:cstheme="minorHAnsi"/>
          <w:lang w:val="en-US"/>
        </w:rPr>
        <w:t xml:space="preserve">Develop and implement </w:t>
      </w:r>
      <w:r w:rsidR="00626D0C">
        <w:rPr>
          <w:rFonts w:ascii="Calibri" w:eastAsia="Calibri" w:hAnsi="Calibri" w:cs="Times New Roman"/>
          <w:lang w:val="en-US" w:eastAsia="en-US"/>
        </w:rPr>
        <w:t>autologous media components/serum</w:t>
      </w:r>
      <w:r w:rsidR="00047983" w:rsidRPr="00047983">
        <w:rPr>
          <w:rFonts w:ascii="Calibri" w:eastAsia="Calibri" w:hAnsi="Calibri" w:cs="Times New Roman"/>
          <w:lang w:val="en-US" w:eastAsia="en-US"/>
        </w:rPr>
        <w:t xml:space="preserve">, to reduce variability and better mimic </w:t>
      </w:r>
      <w:r w:rsidR="00047983" w:rsidRPr="00047983">
        <w:rPr>
          <w:rFonts w:ascii="Calibri" w:eastAsia="Calibri" w:hAnsi="Calibri" w:cs="Times New Roman"/>
          <w:i/>
          <w:lang w:val="en-US" w:eastAsia="en-US"/>
        </w:rPr>
        <w:t>in vivo</w:t>
      </w:r>
      <w:r w:rsidR="00047983" w:rsidRPr="00047983">
        <w:rPr>
          <w:rFonts w:ascii="Calibri" w:eastAsia="Calibri" w:hAnsi="Calibri" w:cs="Times New Roman"/>
          <w:lang w:val="en-US" w:eastAsia="en-US"/>
        </w:rPr>
        <w:t xml:space="preserve"> environments</w:t>
      </w:r>
    </w:p>
    <w:p w14:paraId="6E51407D" w14:textId="77777777" w:rsidR="007650DF" w:rsidRDefault="00D44A43" w:rsidP="005D5AF1">
      <w:pPr>
        <w:numPr>
          <w:ilvl w:val="0"/>
          <w:numId w:val="14"/>
        </w:numPr>
        <w:spacing w:line="360" w:lineRule="auto"/>
        <w:ind w:hanging="436"/>
        <w:contextualSpacing/>
        <w:rPr>
          <w:rFonts w:ascii="Calibri" w:eastAsia="Calibri" w:hAnsi="Calibri" w:cs="Times New Roman"/>
          <w:lang w:val="en-US" w:eastAsia="en-US"/>
        </w:rPr>
      </w:pPr>
      <w:r w:rsidRPr="00D44A43">
        <w:rPr>
          <w:rFonts w:ascii="Calibri" w:eastAsia="Calibri" w:hAnsi="Calibri" w:cs="Times New Roman"/>
          <w:lang w:val="en-US" w:eastAsia="en-US"/>
        </w:rPr>
        <w:t>Establish robust cell-type-specific markers</w:t>
      </w:r>
      <w:r w:rsidR="00047983">
        <w:rPr>
          <w:rFonts w:ascii="Calibri" w:eastAsia="Calibri" w:hAnsi="Calibri" w:cs="Times New Roman"/>
          <w:lang w:val="en-US" w:eastAsia="en-US"/>
        </w:rPr>
        <w:t xml:space="preserve"> -</w:t>
      </w:r>
      <w:r w:rsidR="00626D0C">
        <w:rPr>
          <w:rFonts w:ascii="Calibri" w:eastAsia="Calibri" w:hAnsi="Calibri" w:cs="Times New Roman"/>
          <w:lang w:val="en-US" w:eastAsia="en-US"/>
        </w:rPr>
        <w:t xml:space="preserve"> </w:t>
      </w:r>
      <w:r w:rsidRPr="00D44A43">
        <w:rPr>
          <w:rFonts w:ascii="Calibri" w:eastAsia="Calibri" w:hAnsi="Calibri" w:cs="Times New Roman"/>
          <w:lang w:val="en-US" w:eastAsia="en-US"/>
        </w:rPr>
        <w:t>the expression of defined marker genes was proposed as a viable approach to enhance cellular identification</w:t>
      </w:r>
    </w:p>
    <w:p w14:paraId="3E23F40C" w14:textId="77777777" w:rsidR="007650DF" w:rsidRDefault="00047983" w:rsidP="005D5AF1">
      <w:pPr>
        <w:numPr>
          <w:ilvl w:val="0"/>
          <w:numId w:val="14"/>
        </w:numPr>
        <w:spacing w:line="360" w:lineRule="auto"/>
        <w:ind w:hanging="436"/>
        <w:contextualSpacing/>
        <w:rPr>
          <w:rFonts w:ascii="Calibri" w:eastAsia="Calibri" w:hAnsi="Calibri" w:cs="Times New Roman"/>
          <w:lang w:val="en-US" w:eastAsia="en-US"/>
        </w:rPr>
      </w:pPr>
      <w:r>
        <w:rPr>
          <w:rFonts w:ascii="Calibri" w:eastAsia="Calibri" w:hAnsi="Calibri" w:cs="Times New Roman"/>
          <w:lang w:val="en-US" w:eastAsia="en-US"/>
        </w:rPr>
        <w:t>Create</w:t>
      </w:r>
      <w:r w:rsidR="00626D0C">
        <w:rPr>
          <w:rFonts w:ascii="Calibri" w:eastAsia="Calibri" w:hAnsi="Calibri" w:cs="Times New Roman"/>
          <w:lang w:val="en-US" w:eastAsia="en-US"/>
        </w:rPr>
        <w:t xml:space="preserve"> public</w:t>
      </w:r>
      <w:r>
        <w:rPr>
          <w:rFonts w:ascii="Calibri" w:eastAsia="Calibri" w:hAnsi="Calibri" w:cs="Times New Roman"/>
          <w:lang w:val="en-US" w:eastAsia="en-US"/>
        </w:rPr>
        <w:t>ly accessible</w:t>
      </w:r>
      <w:r w:rsidR="00626D0C">
        <w:rPr>
          <w:rFonts w:ascii="Calibri" w:eastAsia="Calibri" w:hAnsi="Calibri" w:cs="Times New Roman"/>
          <w:lang w:val="en-US" w:eastAsia="en-US"/>
        </w:rPr>
        <w:t xml:space="preserve"> databases providing expres</w:t>
      </w:r>
      <w:r>
        <w:rPr>
          <w:rFonts w:ascii="Calibri" w:eastAsia="Calibri" w:hAnsi="Calibri" w:cs="Times New Roman"/>
          <w:lang w:val="en-US" w:eastAsia="en-US"/>
        </w:rPr>
        <w:t>sion profiles of different cell types</w:t>
      </w:r>
    </w:p>
    <w:p w14:paraId="045634EC" w14:textId="77777777" w:rsidR="007650DF" w:rsidRDefault="00047983" w:rsidP="005D5AF1">
      <w:pPr>
        <w:numPr>
          <w:ilvl w:val="0"/>
          <w:numId w:val="14"/>
        </w:numPr>
        <w:spacing w:line="360" w:lineRule="auto"/>
        <w:ind w:hanging="436"/>
        <w:contextualSpacing/>
        <w:rPr>
          <w:rFonts w:ascii="Calibri" w:eastAsia="Calibri" w:hAnsi="Calibri" w:cs="Times New Roman"/>
          <w:lang w:val="en-US" w:eastAsia="en-US"/>
        </w:rPr>
      </w:pPr>
      <w:r w:rsidRPr="00047983">
        <w:rPr>
          <w:rFonts w:ascii="Calibri" w:eastAsia="Calibri" w:hAnsi="Calibri" w:cs="Times New Roman"/>
          <w:lang w:val="en-US" w:eastAsia="en-US"/>
        </w:rPr>
        <w:t>Leverage advances in single-cell omics technologies to refine cellular models</w:t>
      </w:r>
      <w:r>
        <w:rPr>
          <w:rFonts w:ascii="Calibri" w:eastAsia="Calibri" w:hAnsi="Calibri" w:cs="Times New Roman"/>
          <w:lang w:val="en-US" w:eastAsia="en-US"/>
        </w:rPr>
        <w:t xml:space="preserve"> - </w:t>
      </w:r>
      <w:r w:rsidRPr="00047983">
        <w:rPr>
          <w:rFonts w:ascii="Calibri" w:eastAsia="Calibri" w:hAnsi="Calibri" w:cs="Times New Roman"/>
          <w:lang w:val="en-US" w:eastAsia="en-US"/>
        </w:rPr>
        <w:t xml:space="preserve">for example, by determining the </w:t>
      </w:r>
      <w:r w:rsidRPr="004D01D3">
        <w:rPr>
          <w:rFonts w:ascii="Calibri" w:eastAsia="Calibri" w:hAnsi="Calibri" w:cs="Times New Roman"/>
          <w:i/>
          <w:lang w:val="en-US" w:eastAsia="en-US"/>
        </w:rPr>
        <w:t>in vivo</w:t>
      </w:r>
      <w:r w:rsidRPr="00047983">
        <w:rPr>
          <w:rFonts w:ascii="Calibri" w:eastAsia="Calibri" w:hAnsi="Calibri" w:cs="Times New Roman"/>
          <w:lang w:val="en-US" w:eastAsia="en-US"/>
        </w:rPr>
        <w:t xml:space="preserve"> cellular composition of target organs to guide the development of accurate co-culture </w:t>
      </w:r>
      <w:r>
        <w:rPr>
          <w:rFonts w:ascii="Calibri" w:eastAsia="Calibri" w:hAnsi="Calibri" w:cs="Times New Roman"/>
          <w:lang w:val="en-US" w:eastAsia="en-US"/>
        </w:rPr>
        <w:t>systems and organoid validation</w:t>
      </w:r>
    </w:p>
    <w:p w14:paraId="7A38FCED" w14:textId="77777777" w:rsidR="007650DF" w:rsidRDefault="00047983" w:rsidP="005D5AF1">
      <w:pPr>
        <w:numPr>
          <w:ilvl w:val="0"/>
          <w:numId w:val="14"/>
        </w:numPr>
        <w:spacing w:line="360" w:lineRule="auto"/>
        <w:ind w:hanging="436"/>
        <w:contextualSpacing/>
        <w:rPr>
          <w:rFonts w:ascii="Calibri" w:eastAsia="Calibri" w:hAnsi="Calibri" w:cs="Times New Roman"/>
          <w:lang w:val="en-US" w:eastAsia="en-US"/>
        </w:rPr>
      </w:pPr>
      <w:r>
        <w:rPr>
          <w:rFonts w:ascii="Calibri" w:eastAsia="Calibri" w:hAnsi="Calibri" w:cs="Times New Roman"/>
          <w:lang w:val="en-US" w:eastAsia="en-US"/>
        </w:rPr>
        <w:t>Encourage</w:t>
      </w:r>
      <w:r w:rsidR="00626D0C">
        <w:rPr>
          <w:rFonts w:ascii="Calibri" w:eastAsia="Calibri" w:hAnsi="Calibri" w:cs="Times New Roman"/>
          <w:lang w:val="en-US" w:eastAsia="en-US"/>
        </w:rPr>
        <w:t xml:space="preserve"> </w:t>
      </w:r>
      <w:r>
        <w:rPr>
          <w:rFonts w:ascii="Calibri" w:eastAsia="Calibri" w:hAnsi="Calibri" w:cs="Times New Roman"/>
          <w:lang w:val="en-US" w:eastAsia="en-US"/>
        </w:rPr>
        <w:t xml:space="preserve">studies </w:t>
      </w:r>
      <w:r w:rsidRPr="00047983">
        <w:rPr>
          <w:rFonts w:ascii="Calibri" w:eastAsia="Calibri" w:hAnsi="Calibri" w:cs="Times New Roman"/>
          <w:lang w:val="en-US" w:eastAsia="en-US"/>
        </w:rPr>
        <w:t xml:space="preserve">that bridge </w:t>
      </w:r>
      <w:r w:rsidRPr="00047983">
        <w:rPr>
          <w:rFonts w:ascii="Calibri" w:eastAsia="Calibri" w:hAnsi="Calibri" w:cs="Times New Roman"/>
          <w:i/>
          <w:lang w:val="en-US" w:eastAsia="en-US"/>
        </w:rPr>
        <w:t>in vitro</w:t>
      </w:r>
      <w:r w:rsidRPr="00047983">
        <w:rPr>
          <w:rFonts w:ascii="Calibri" w:eastAsia="Calibri" w:hAnsi="Calibri" w:cs="Times New Roman"/>
          <w:lang w:val="en-US" w:eastAsia="en-US"/>
        </w:rPr>
        <w:t xml:space="preserve"> and </w:t>
      </w:r>
      <w:r w:rsidRPr="00047983">
        <w:rPr>
          <w:rFonts w:ascii="Calibri" w:eastAsia="Calibri" w:hAnsi="Calibri" w:cs="Times New Roman"/>
          <w:i/>
          <w:lang w:val="en-US" w:eastAsia="en-US"/>
        </w:rPr>
        <w:t>in vivo</w:t>
      </w:r>
      <w:r w:rsidRPr="00047983">
        <w:rPr>
          <w:rFonts w:ascii="Calibri" w:eastAsia="Calibri" w:hAnsi="Calibri" w:cs="Times New Roman"/>
          <w:lang w:val="en-US" w:eastAsia="en-US"/>
        </w:rPr>
        <w:t xml:space="preserve"> systems through parallel experimental designs, thereby enabling direct comparison and validat</w:t>
      </w:r>
      <w:r>
        <w:rPr>
          <w:rFonts w:ascii="Calibri" w:eastAsia="Calibri" w:hAnsi="Calibri" w:cs="Times New Roman"/>
          <w:lang w:val="en-US" w:eastAsia="en-US"/>
        </w:rPr>
        <w:t>ion of findings across contexts</w:t>
      </w:r>
    </w:p>
    <w:p w14:paraId="774BFCF7" w14:textId="77777777" w:rsidR="007650DF" w:rsidRDefault="00047983" w:rsidP="005D5AF1">
      <w:pPr>
        <w:numPr>
          <w:ilvl w:val="0"/>
          <w:numId w:val="14"/>
        </w:numPr>
        <w:spacing w:line="360" w:lineRule="auto"/>
        <w:ind w:hanging="436"/>
        <w:contextualSpacing/>
        <w:rPr>
          <w:rFonts w:ascii="Calibri" w:eastAsia="Calibri" w:hAnsi="Calibri" w:cs="Times New Roman"/>
          <w:lang w:val="en-US" w:eastAsia="en-US"/>
        </w:rPr>
      </w:pPr>
      <w:r w:rsidRPr="00047983">
        <w:rPr>
          <w:rFonts w:ascii="Calibri" w:eastAsia="Calibri" w:hAnsi="Calibri" w:cs="Times New Roman"/>
          <w:lang w:val="en-US" w:eastAsia="en-US"/>
        </w:rPr>
        <w:t xml:space="preserve">Expand the development of advanced </w:t>
      </w:r>
      <w:r w:rsidRPr="004D01D3">
        <w:rPr>
          <w:rFonts w:ascii="Calibri" w:eastAsia="Calibri" w:hAnsi="Calibri" w:cs="Times New Roman"/>
          <w:i/>
          <w:lang w:val="en-US" w:eastAsia="en-US"/>
        </w:rPr>
        <w:t>in vitro</w:t>
      </w:r>
      <w:r w:rsidRPr="00047983">
        <w:rPr>
          <w:rFonts w:ascii="Calibri" w:eastAsia="Calibri" w:hAnsi="Calibri" w:cs="Times New Roman"/>
          <w:lang w:val="en-US" w:eastAsia="en-US"/>
        </w:rPr>
        <w:t xml:space="preserve"> systems beyond organoids, including three-dimensional cultures and organ-on-chip platforms</w:t>
      </w:r>
    </w:p>
    <w:p w14:paraId="39348D16" w14:textId="77777777" w:rsidR="007650DF" w:rsidRDefault="007650DF">
      <w:pPr>
        <w:rPr>
          <w:lang w:val="en-US" w:eastAsia="en-GB"/>
        </w:rPr>
      </w:pPr>
    </w:p>
    <w:p w14:paraId="30155A7D" w14:textId="4147C2C0" w:rsidR="007650DF" w:rsidRDefault="00626D0C">
      <w:pPr>
        <w:jc w:val="both"/>
        <w:rPr>
          <w:rFonts w:ascii="Calibri" w:eastAsia="Calibri" w:hAnsi="Calibri" w:cs="Times New Roman"/>
          <w:lang w:val="en-US" w:eastAsia="en-US"/>
        </w:rPr>
      </w:pPr>
      <w:r>
        <w:rPr>
          <w:rFonts w:ascii="Calibri" w:eastAsia="Calibri" w:hAnsi="Calibri" w:cs="Times New Roman"/>
          <w:lang w:val="en-US" w:eastAsia="en-US"/>
        </w:rPr>
        <w:t xml:space="preserve">The workshop emphasized that working with cell models demands specialized expertise, and developing these skills is crucial. Standardized methods and protocols, enhanced services and networks, and improved data-sharing practices are essential for progress. Ongoing and proposed initiatives to improve cellular models must be well-coordinated to avoid duplication of efforts. </w:t>
      </w:r>
      <w:r w:rsidR="00672C56">
        <w:rPr>
          <w:rFonts w:ascii="Calibri" w:eastAsia="Calibri" w:hAnsi="Calibri" w:cs="Times New Roman"/>
          <w:lang w:val="en-US" w:eastAsia="en-US"/>
        </w:rPr>
        <w:t xml:space="preserve">It was concluded that </w:t>
      </w:r>
      <w:r w:rsidR="006E19FC">
        <w:rPr>
          <w:rFonts w:ascii="Calibri" w:eastAsia="Calibri" w:hAnsi="Calibri" w:cs="Times New Roman"/>
          <w:lang w:val="en-US" w:eastAsia="en-US"/>
        </w:rPr>
        <w:t xml:space="preserve">a </w:t>
      </w:r>
      <w:r>
        <w:rPr>
          <w:rFonts w:ascii="Calibri" w:eastAsia="Calibri" w:hAnsi="Calibri" w:cs="Times New Roman"/>
          <w:lang w:val="en-US" w:eastAsia="en-US"/>
        </w:rPr>
        <w:t xml:space="preserve">EuroFAANG RI </w:t>
      </w:r>
      <w:r w:rsidR="006E19FC">
        <w:rPr>
          <w:rFonts w:ascii="Calibri" w:eastAsia="Calibri" w:hAnsi="Calibri" w:cs="Times New Roman"/>
          <w:lang w:val="en-US" w:eastAsia="en-US"/>
        </w:rPr>
        <w:t xml:space="preserve">would have </w:t>
      </w:r>
      <w:r>
        <w:rPr>
          <w:rFonts w:ascii="Calibri" w:eastAsia="Calibri" w:hAnsi="Calibri" w:cs="Times New Roman"/>
          <w:lang w:val="en-US" w:eastAsia="en-US"/>
        </w:rPr>
        <w:t>the opportunity to take a leading role in coordinating and organizing these activities.</w:t>
      </w:r>
    </w:p>
    <w:p w14:paraId="3E3D2A8D" w14:textId="77777777" w:rsidR="007650DF" w:rsidRDefault="007650DF">
      <w:pPr>
        <w:jc w:val="both"/>
        <w:rPr>
          <w:rFonts w:asciiTheme="minorHAnsi" w:hAnsiTheme="minorHAnsi" w:cstheme="minorHAnsi"/>
          <w:color w:val="000000" w:themeColor="text1"/>
          <w:lang w:val="en-US"/>
        </w:rPr>
      </w:pPr>
    </w:p>
    <w:p w14:paraId="4B964574" w14:textId="0A2BF732" w:rsidR="007650DF" w:rsidRPr="000E5E45" w:rsidRDefault="00626D0C" w:rsidP="000E5E45">
      <w:pPr>
        <w:pStyle w:val="berschrift2"/>
        <w:rPr>
          <w:sz w:val="28"/>
          <w:szCs w:val="20"/>
        </w:rPr>
      </w:pPr>
      <w:bookmarkStart w:id="19" w:name="_Toc196688413"/>
      <w:r w:rsidRPr="00D87785">
        <w:rPr>
          <w:color w:val="1F4E79"/>
          <w:sz w:val="28"/>
          <w:szCs w:val="20"/>
        </w:rPr>
        <w:t>3.</w:t>
      </w:r>
      <w:r w:rsidR="000E5E45" w:rsidRPr="00D87785">
        <w:rPr>
          <w:color w:val="1F4E79"/>
          <w:sz w:val="28"/>
          <w:szCs w:val="20"/>
        </w:rPr>
        <w:t>2</w:t>
      </w:r>
      <w:r w:rsidRPr="00D87785">
        <w:rPr>
          <w:color w:val="1F4E79"/>
          <w:sz w:val="28"/>
          <w:szCs w:val="20"/>
        </w:rPr>
        <w:t xml:space="preserve"> </w:t>
      </w:r>
      <w:r w:rsidR="003E7AB1" w:rsidRPr="00D87785">
        <w:rPr>
          <w:color w:val="1F4E79"/>
          <w:sz w:val="28"/>
          <w:szCs w:val="20"/>
        </w:rPr>
        <w:t>The workshop “G2P in a Dish”</w:t>
      </w:r>
      <w:r w:rsidR="002A20D5">
        <w:rPr>
          <w:color w:val="1F4E79"/>
          <w:sz w:val="28"/>
          <w:szCs w:val="20"/>
        </w:rPr>
        <w:t xml:space="preserve"> </w:t>
      </w:r>
      <w:r w:rsidR="003E7AB1" w:rsidRPr="00D87785">
        <w:rPr>
          <w:color w:val="1F4E79"/>
          <w:sz w:val="28"/>
          <w:szCs w:val="20"/>
        </w:rPr>
        <w:t>(lead: WP4)</w:t>
      </w:r>
      <w:bookmarkEnd w:id="19"/>
    </w:p>
    <w:p w14:paraId="5EF35200" w14:textId="53B6F807" w:rsidR="007650DF" w:rsidRDefault="00626D0C">
      <w:pPr>
        <w:jc w:val="both"/>
        <w:rPr>
          <w:rFonts w:ascii="Calibri" w:hAnsi="Calibri"/>
          <w:lang w:val="en-US"/>
        </w:rPr>
      </w:pPr>
      <w:bookmarkStart w:id="20" w:name="_Hlk196391347"/>
      <w:r>
        <w:rPr>
          <w:rFonts w:ascii="Calibri" w:hAnsi="Calibri"/>
          <w:lang w:val="en-US"/>
        </w:rPr>
        <w:t>The workshop “G2P in a Dish”</w:t>
      </w:r>
      <w:bookmarkEnd w:id="20"/>
      <w:r>
        <w:rPr>
          <w:rFonts w:ascii="Calibri" w:hAnsi="Calibri"/>
          <w:lang w:val="en-US"/>
        </w:rPr>
        <w:t xml:space="preserve"> </w:t>
      </w:r>
      <w:r w:rsidR="00744EB4">
        <w:rPr>
          <w:rFonts w:ascii="Calibri" w:hAnsi="Calibri"/>
          <w:lang w:val="en-US"/>
        </w:rPr>
        <w:t xml:space="preserve">(see </w:t>
      </w:r>
      <w:r w:rsidR="00FA23EE">
        <w:rPr>
          <w:rFonts w:ascii="Calibri" w:hAnsi="Calibri"/>
          <w:lang w:val="en-US"/>
        </w:rPr>
        <w:t xml:space="preserve">MS11 and </w:t>
      </w:r>
      <w:r w:rsidR="00744EB4">
        <w:rPr>
          <w:rFonts w:ascii="Calibri" w:hAnsi="Calibri"/>
          <w:lang w:val="en-US"/>
        </w:rPr>
        <w:t xml:space="preserve">Annex </w:t>
      </w:r>
      <w:r w:rsidR="00FA23EE">
        <w:rPr>
          <w:rFonts w:ascii="Calibri" w:hAnsi="Calibri"/>
          <w:lang w:val="en-US"/>
        </w:rPr>
        <w:t>4.</w:t>
      </w:r>
      <w:r w:rsidR="0097360E">
        <w:rPr>
          <w:rFonts w:ascii="Calibri" w:hAnsi="Calibri"/>
          <w:lang w:val="en-US"/>
        </w:rPr>
        <w:t>2</w:t>
      </w:r>
      <w:r w:rsidR="00FA23EE">
        <w:rPr>
          <w:rFonts w:ascii="Calibri" w:hAnsi="Calibri"/>
          <w:lang w:val="en-US"/>
        </w:rPr>
        <w:t xml:space="preserve">) </w:t>
      </w:r>
      <w:r>
        <w:rPr>
          <w:rFonts w:ascii="Calibri" w:hAnsi="Calibri"/>
          <w:lang w:val="en-US"/>
        </w:rPr>
        <w:t xml:space="preserve">was organized by Work Package 4 (WP4) in collaboration with </w:t>
      </w:r>
      <w:r w:rsidR="003E7AB1">
        <w:rPr>
          <w:rFonts w:ascii="Calibri" w:hAnsi="Calibri"/>
          <w:lang w:val="en-US"/>
        </w:rPr>
        <w:t xml:space="preserve">both </w:t>
      </w:r>
      <w:r>
        <w:rPr>
          <w:rFonts w:ascii="Calibri" w:hAnsi="Calibri"/>
          <w:lang w:val="en-US"/>
        </w:rPr>
        <w:t xml:space="preserve">WP5 and WP6. The event highlighted the critical role of </w:t>
      </w:r>
      <w:r w:rsidRPr="00033F6F">
        <w:rPr>
          <w:rFonts w:ascii="Calibri" w:hAnsi="Calibri"/>
          <w:i/>
          <w:lang w:val="en-US"/>
        </w:rPr>
        <w:t>in vitro</w:t>
      </w:r>
      <w:r>
        <w:rPr>
          <w:rFonts w:ascii="Calibri" w:hAnsi="Calibri"/>
          <w:lang w:val="en-US"/>
        </w:rPr>
        <w:t xml:space="preserve"> models in advancing the implementation of the 3R principles in animal research. Trainers and invited speakers presented a range of applications of </w:t>
      </w:r>
      <w:r w:rsidRPr="00033F6F">
        <w:rPr>
          <w:rFonts w:ascii="Calibri" w:hAnsi="Calibri"/>
          <w:i/>
          <w:lang w:val="en-US"/>
        </w:rPr>
        <w:t xml:space="preserve">in vitro </w:t>
      </w:r>
      <w:r>
        <w:rPr>
          <w:rFonts w:ascii="Calibri" w:hAnsi="Calibri"/>
          <w:lang w:val="en-US"/>
        </w:rPr>
        <w:t xml:space="preserve">cellular models within the context of G2P research in farm animals. Two roundtable discussions were dedicated to addressing the key challenges associated with the application of </w:t>
      </w:r>
      <w:r w:rsidRPr="00033F6F">
        <w:rPr>
          <w:rFonts w:ascii="Calibri" w:hAnsi="Calibri"/>
          <w:i/>
          <w:lang w:val="en-US"/>
        </w:rPr>
        <w:t>in vitro</w:t>
      </w:r>
      <w:r>
        <w:rPr>
          <w:rFonts w:ascii="Calibri" w:hAnsi="Calibri"/>
          <w:lang w:val="en-US"/>
        </w:rPr>
        <w:t xml:space="preserve"> models in G2P research</w:t>
      </w:r>
      <w:r w:rsidR="00033F6F">
        <w:rPr>
          <w:rFonts w:ascii="Calibri" w:hAnsi="Calibri"/>
          <w:lang w:val="en-US"/>
        </w:rPr>
        <w:t xml:space="preserve"> in farm animals</w:t>
      </w:r>
      <w:r>
        <w:rPr>
          <w:rFonts w:ascii="Calibri" w:hAnsi="Calibri"/>
          <w:lang w:val="en-US"/>
        </w:rPr>
        <w:t>.</w:t>
      </w:r>
    </w:p>
    <w:p w14:paraId="379DA231" w14:textId="03EC68D7" w:rsidR="007650DF" w:rsidRPr="00D87785" w:rsidRDefault="00626D0C" w:rsidP="00D87785">
      <w:pPr>
        <w:pStyle w:val="berschrift3"/>
        <w:rPr>
          <w:color w:val="1F4E79"/>
        </w:rPr>
      </w:pPr>
      <w:bookmarkStart w:id="21" w:name="_Toc196688414"/>
      <w:r w:rsidRPr="00D87785">
        <w:rPr>
          <w:color w:val="1F4E79"/>
        </w:rPr>
        <w:t>3.</w:t>
      </w:r>
      <w:r w:rsidR="00C620DC" w:rsidRPr="00D87785">
        <w:rPr>
          <w:color w:val="1F4E79"/>
        </w:rPr>
        <w:t>2</w:t>
      </w:r>
      <w:r w:rsidRPr="00D87785">
        <w:rPr>
          <w:color w:val="1F4E79"/>
        </w:rPr>
        <w:t xml:space="preserve">.1 </w:t>
      </w:r>
      <w:r w:rsidR="008A4605">
        <w:rPr>
          <w:color w:val="1F4E79"/>
        </w:rPr>
        <w:t>Workshop outcomes: Defining the paths</w:t>
      </w:r>
      <w:r w:rsidR="00AE160D">
        <w:rPr>
          <w:color w:val="1F4E79"/>
        </w:rPr>
        <w:t xml:space="preserve"> to bridge the gap</w:t>
      </w:r>
      <w:bookmarkEnd w:id="21"/>
    </w:p>
    <w:p w14:paraId="356403A0" w14:textId="22B7ED26" w:rsidR="007650DF" w:rsidRPr="008C29E3" w:rsidRDefault="0019227D">
      <w:pPr>
        <w:jc w:val="both"/>
        <w:rPr>
          <w:rFonts w:ascii="Calibri" w:hAnsi="Calibri"/>
          <w:lang w:val="en-GB"/>
        </w:rPr>
      </w:pPr>
      <w:r>
        <w:rPr>
          <w:rFonts w:ascii="Calibri" w:hAnsi="Calibri"/>
          <w:lang w:val="en-GB"/>
        </w:rPr>
        <w:t>S</w:t>
      </w:r>
      <w:r w:rsidRPr="008C29E3">
        <w:rPr>
          <w:rFonts w:ascii="Calibri" w:hAnsi="Calibri"/>
          <w:lang w:val="en-GB"/>
        </w:rPr>
        <w:t xml:space="preserve">everal </w:t>
      </w:r>
      <w:r w:rsidR="00626D0C" w:rsidRPr="008C29E3">
        <w:rPr>
          <w:rFonts w:ascii="Calibri" w:hAnsi="Calibri"/>
          <w:lang w:val="en-GB"/>
        </w:rPr>
        <w:t>relevant approaches emerged from the discussions</w:t>
      </w:r>
      <w:r>
        <w:rPr>
          <w:rFonts w:ascii="Calibri" w:hAnsi="Calibri"/>
          <w:lang w:val="en-GB"/>
        </w:rPr>
        <w:t xml:space="preserve"> concerning the need to fill the </w:t>
      </w:r>
      <w:r w:rsidRPr="00D87785">
        <w:rPr>
          <w:rFonts w:ascii="Calibri" w:hAnsi="Calibri"/>
          <w:i/>
          <w:iCs/>
          <w:lang w:val="en-GB"/>
        </w:rPr>
        <w:t>in vitro-in vivo</w:t>
      </w:r>
      <w:r>
        <w:rPr>
          <w:rFonts w:ascii="Calibri" w:hAnsi="Calibri"/>
          <w:lang w:val="en-GB"/>
        </w:rPr>
        <w:t xml:space="preserve"> gap</w:t>
      </w:r>
      <w:r w:rsidR="00626D0C" w:rsidRPr="008C29E3">
        <w:rPr>
          <w:rFonts w:ascii="Calibri" w:hAnsi="Calibri"/>
          <w:lang w:val="en-GB"/>
        </w:rPr>
        <w:t xml:space="preserve">. One notable example involved correlating the outcomes of nutritional studies using </w:t>
      </w:r>
      <w:r w:rsidR="00626D0C" w:rsidRPr="008C29E3">
        <w:rPr>
          <w:rFonts w:ascii="Calibri" w:hAnsi="Calibri"/>
          <w:lang w:val="en-GB"/>
        </w:rPr>
        <w:lastRenderedPageBreak/>
        <w:t xml:space="preserve">advanced intestinal </w:t>
      </w:r>
      <w:r w:rsidR="00626D0C" w:rsidRPr="00033F6F">
        <w:rPr>
          <w:rFonts w:ascii="Calibri" w:hAnsi="Calibri"/>
          <w:i/>
          <w:lang w:val="en-GB"/>
        </w:rPr>
        <w:t>in vitro</w:t>
      </w:r>
      <w:r w:rsidR="00626D0C" w:rsidRPr="008C29E3">
        <w:rPr>
          <w:rFonts w:ascii="Calibri" w:hAnsi="Calibri"/>
          <w:lang w:val="en-GB"/>
        </w:rPr>
        <w:t xml:space="preserve"> models with </w:t>
      </w:r>
      <w:r w:rsidR="00626D0C" w:rsidRPr="00033F6F">
        <w:rPr>
          <w:rFonts w:ascii="Calibri" w:hAnsi="Calibri"/>
          <w:i/>
          <w:lang w:val="en-GB"/>
        </w:rPr>
        <w:t>in vivo</w:t>
      </w:r>
      <w:r w:rsidR="00626D0C" w:rsidRPr="008C29E3">
        <w:rPr>
          <w:rFonts w:ascii="Calibri" w:hAnsi="Calibri"/>
          <w:lang w:val="en-GB"/>
        </w:rPr>
        <w:t xml:space="preserve"> feed trials in aquaculture</w:t>
      </w:r>
      <w:r>
        <w:rPr>
          <w:rFonts w:ascii="Calibri" w:hAnsi="Calibri"/>
          <w:lang w:val="en-GB"/>
        </w:rPr>
        <w:t xml:space="preserve"> (F. Gandolfi, Univ. </w:t>
      </w:r>
      <w:r w:rsidR="000E5E45">
        <w:rPr>
          <w:rFonts w:ascii="Calibri" w:hAnsi="Calibri"/>
          <w:lang w:val="en-GB"/>
        </w:rPr>
        <w:t>M</w:t>
      </w:r>
      <w:r>
        <w:rPr>
          <w:rFonts w:ascii="Calibri" w:hAnsi="Calibri"/>
          <w:lang w:val="en-GB"/>
        </w:rPr>
        <w:t>ilan)</w:t>
      </w:r>
      <w:r w:rsidR="00626D0C" w:rsidRPr="008C29E3">
        <w:rPr>
          <w:rFonts w:ascii="Calibri" w:hAnsi="Calibri"/>
          <w:lang w:val="en-GB"/>
        </w:rPr>
        <w:t>. An intriguing proposal was made to develop a Phenotype Outcome Pathway (POP) knowledge base</w:t>
      </w:r>
      <w:r>
        <w:rPr>
          <w:rFonts w:ascii="Calibri" w:hAnsi="Calibri"/>
          <w:lang w:val="en-GB"/>
        </w:rPr>
        <w:t xml:space="preserve"> for G2P research</w:t>
      </w:r>
      <w:r w:rsidR="00626D0C" w:rsidRPr="008C29E3">
        <w:rPr>
          <w:rFonts w:ascii="Calibri" w:hAnsi="Calibri"/>
          <w:lang w:val="en-GB"/>
        </w:rPr>
        <w:t xml:space="preserve">, </w:t>
      </w:r>
      <w:r w:rsidR="005A130B" w:rsidRPr="008C29E3">
        <w:rPr>
          <w:rFonts w:ascii="Calibri" w:hAnsi="Calibri"/>
          <w:lang w:val="en-GB"/>
        </w:rPr>
        <w:t>modelled</w:t>
      </w:r>
      <w:r w:rsidR="00626D0C" w:rsidRPr="008C29E3">
        <w:rPr>
          <w:rFonts w:ascii="Calibri" w:hAnsi="Calibri"/>
          <w:lang w:val="en-GB"/>
        </w:rPr>
        <w:t xml:space="preserve"> after the Adverse Outcome Pathway (AOP) framework established in toxicology</w:t>
      </w:r>
      <w:r>
        <w:rPr>
          <w:rFonts w:ascii="Calibri" w:hAnsi="Calibri"/>
          <w:lang w:val="en-GB"/>
        </w:rPr>
        <w:t xml:space="preserve"> (M. Whelan, JRC Ispra)</w:t>
      </w:r>
      <w:r w:rsidR="00626D0C" w:rsidRPr="008C29E3">
        <w:rPr>
          <w:rFonts w:ascii="Calibri" w:hAnsi="Calibri"/>
          <w:lang w:val="en-GB"/>
        </w:rPr>
        <w:t xml:space="preserve">. Such a community-driven knowledge repository could guide </w:t>
      </w:r>
      <w:r w:rsidR="00626D0C" w:rsidRPr="00033F6F">
        <w:rPr>
          <w:rFonts w:ascii="Calibri" w:hAnsi="Calibri"/>
          <w:i/>
          <w:lang w:val="en-GB"/>
        </w:rPr>
        <w:t>in vitro</w:t>
      </w:r>
      <w:r w:rsidR="00626D0C" w:rsidRPr="008C29E3">
        <w:rPr>
          <w:rFonts w:ascii="Calibri" w:hAnsi="Calibri"/>
          <w:lang w:val="en-GB"/>
        </w:rPr>
        <w:t xml:space="preserve"> </w:t>
      </w:r>
      <w:r w:rsidR="005A130B" w:rsidRPr="008C29E3">
        <w:rPr>
          <w:rFonts w:ascii="Calibri" w:hAnsi="Calibri"/>
          <w:lang w:val="en-GB"/>
        </w:rPr>
        <w:t>modelling</w:t>
      </w:r>
      <w:r w:rsidR="00626D0C" w:rsidRPr="008C29E3">
        <w:rPr>
          <w:rFonts w:ascii="Calibri" w:hAnsi="Calibri"/>
          <w:lang w:val="en-GB"/>
        </w:rPr>
        <w:t xml:space="preserve"> efforts and facilitate the identification and exploration of key events along the G2P causal chain.</w:t>
      </w:r>
    </w:p>
    <w:p w14:paraId="58EBD216" w14:textId="77777777" w:rsidR="007650DF" w:rsidRPr="008C29E3" w:rsidRDefault="007650DF">
      <w:pPr>
        <w:jc w:val="both"/>
        <w:rPr>
          <w:rFonts w:ascii="Calibri" w:hAnsi="Calibri"/>
          <w:lang w:val="en-GB"/>
        </w:rPr>
      </w:pPr>
    </w:p>
    <w:p w14:paraId="69E78256" w14:textId="4ADAAF2F" w:rsidR="007650DF" w:rsidRPr="008C29E3" w:rsidRDefault="00626D0C" w:rsidP="001E3211">
      <w:pPr>
        <w:jc w:val="both"/>
        <w:rPr>
          <w:rFonts w:ascii="Calibri" w:hAnsi="Calibri"/>
          <w:lang w:val="en-GB"/>
        </w:rPr>
      </w:pPr>
      <w:r w:rsidRPr="008C29E3">
        <w:rPr>
          <w:rFonts w:ascii="Calibri" w:hAnsi="Calibri"/>
          <w:lang w:val="en-GB"/>
        </w:rPr>
        <w:t xml:space="preserve">During the </w:t>
      </w:r>
      <w:r w:rsidR="0019227D">
        <w:rPr>
          <w:rFonts w:ascii="Calibri" w:hAnsi="Calibri"/>
          <w:lang w:val="en-GB"/>
        </w:rPr>
        <w:t xml:space="preserve">second </w:t>
      </w:r>
      <w:r w:rsidRPr="008C29E3">
        <w:rPr>
          <w:rFonts w:ascii="Calibri" w:hAnsi="Calibri"/>
          <w:lang w:val="en-GB"/>
        </w:rPr>
        <w:t xml:space="preserve">roundtable </w:t>
      </w:r>
      <w:r w:rsidR="0019227D" w:rsidRPr="008C29E3">
        <w:rPr>
          <w:rFonts w:ascii="Calibri" w:hAnsi="Calibri"/>
          <w:lang w:val="en-GB"/>
        </w:rPr>
        <w:t>discussion</w:t>
      </w:r>
      <w:r w:rsidR="0019227D">
        <w:rPr>
          <w:rFonts w:ascii="Calibri" w:hAnsi="Calibri"/>
          <w:lang w:val="en-GB"/>
        </w:rPr>
        <w:t xml:space="preserve"> (“</w:t>
      </w:r>
      <w:r w:rsidR="0019227D" w:rsidRPr="00D87785">
        <w:rPr>
          <w:rFonts w:ascii="Calibri" w:hAnsi="Calibri"/>
          <w:i/>
          <w:iCs/>
          <w:lang w:val="en-GB"/>
        </w:rPr>
        <w:t xml:space="preserve">In vitro </w:t>
      </w:r>
      <w:r w:rsidR="0019227D" w:rsidRPr="0019227D">
        <w:rPr>
          <w:rFonts w:ascii="Calibri" w:hAnsi="Calibri"/>
          <w:lang w:val="en-GB"/>
        </w:rPr>
        <w:t>vs.</w:t>
      </w:r>
      <w:r w:rsidR="0019227D" w:rsidRPr="00D87785">
        <w:rPr>
          <w:rFonts w:ascii="Calibri" w:hAnsi="Calibri"/>
          <w:i/>
          <w:iCs/>
          <w:lang w:val="en-GB"/>
        </w:rPr>
        <w:t xml:space="preserve"> in vivo</w:t>
      </w:r>
      <w:r w:rsidR="0019227D" w:rsidRPr="0019227D">
        <w:rPr>
          <w:rFonts w:ascii="Calibri" w:hAnsi="Calibri"/>
          <w:lang w:val="en-GB"/>
        </w:rPr>
        <w:t xml:space="preserve"> G2P research, which</w:t>
      </w:r>
      <w:r w:rsidR="001E3211">
        <w:rPr>
          <w:rFonts w:ascii="Calibri" w:hAnsi="Calibri"/>
          <w:lang w:val="en-GB"/>
        </w:rPr>
        <w:t xml:space="preserve"> </w:t>
      </w:r>
      <w:r w:rsidR="0019227D" w:rsidRPr="0019227D">
        <w:rPr>
          <w:rFonts w:ascii="Calibri" w:hAnsi="Calibri"/>
          <w:lang w:val="en-GB"/>
        </w:rPr>
        <w:t>perspectives?</w:t>
      </w:r>
      <w:r w:rsidR="0019227D">
        <w:rPr>
          <w:rFonts w:ascii="Calibri" w:hAnsi="Calibri"/>
          <w:lang w:val="en-GB"/>
        </w:rPr>
        <w:t>”)</w:t>
      </w:r>
      <w:r w:rsidRPr="008C29E3">
        <w:rPr>
          <w:rFonts w:ascii="Calibri" w:hAnsi="Calibri"/>
          <w:lang w:val="en-GB"/>
        </w:rPr>
        <w:t>, participants identified major challenges in G2P research</w:t>
      </w:r>
      <w:r w:rsidR="0019227D">
        <w:rPr>
          <w:rFonts w:ascii="Calibri" w:hAnsi="Calibri"/>
          <w:lang w:val="en-GB"/>
        </w:rPr>
        <w:t xml:space="preserve"> relevant to the aim of Task 6.1</w:t>
      </w:r>
      <w:r w:rsidRPr="008C29E3">
        <w:rPr>
          <w:rFonts w:ascii="Calibri" w:hAnsi="Calibri"/>
          <w:lang w:val="en-GB"/>
        </w:rPr>
        <w:t xml:space="preserve">, including issues of reproducibility, standardization, and the translatability of </w:t>
      </w:r>
      <w:r w:rsidRPr="000D255E">
        <w:rPr>
          <w:rFonts w:ascii="Calibri" w:hAnsi="Calibri"/>
          <w:i/>
          <w:lang w:val="en-GB"/>
        </w:rPr>
        <w:t>in vitro</w:t>
      </w:r>
      <w:r w:rsidRPr="008C29E3">
        <w:rPr>
          <w:rFonts w:ascii="Calibri" w:hAnsi="Calibri"/>
          <w:lang w:val="en-GB"/>
        </w:rPr>
        <w:t xml:space="preserve"> findings to </w:t>
      </w:r>
      <w:r w:rsidRPr="000D255E">
        <w:rPr>
          <w:rFonts w:ascii="Calibri" w:hAnsi="Calibri"/>
          <w:i/>
          <w:lang w:val="en-GB"/>
        </w:rPr>
        <w:t xml:space="preserve">in vivo </w:t>
      </w:r>
      <w:r w:rsidRPr="008C29E3">
        <w:rPr>
          <w:rFonts w:ascii="Calibri" w:hAnsi="Calibri"/>
          <w:lang w:val="en-GB"/>
        </w:rPr>
        <w:t xml:space="preserve">contexts. A central question raised concerned how the research community should balance efforts between </w:t>
      </w:r>
      <w:r w:rsidR="0019227D" w:rsidRPr="008C29E3">
        <w:rPr>
          <w:rFonts w:ascii="Calibri" w:hAnsi="Calibri"/>
          <w:lang w:val="en-GB"/>
        </w:rPr>
        <w:t>simple</w:t>
      </w:r>
      <w:r w:rsidR="0019227D">
        <w:rPr>
          <w:rFonts w:ascii="Calibri" w:hAnsi="Calibri"/>
          <w:lang w:val="en-GB"/>
        </w:rPr>
        <w:t xml:space="preserve"> or moderately complex</w:t>
      </w:r>
      <w:r w:rsidR="0019227D" w:rsidRPr="008C29E3">
        <w:rPr>
          <w:rFonts w:ascii="Calibri" w:hAnsi="Calibri"/>
          <w:lang w:val="en-GB"/>
        </w:rPr>
        <w:t xml:space="preserve"> </w:t>
      </w:r>
      <w:r w:rsidRPr="008C29E3">
        <w:rPr>
          <w:rFonts w:ascii="Calibri" w:hAnsi="Calibri"/>
          <w:lang w:val="en-GB"/>
        </w:rPr>
        <w:t>cellular models—such as immortalized cell lines</w:t>
      </w:r>
      <w:r w:rsidR="0019227D">
        <w:rPr>
          <w:rFonts w:ascii="Calibri" w:hAnsi="Calibri"/>
          <w:lang w:val="en-GB"/>
        </w:rPr>
        <w:t xml:space="preserve">, </w:t>
      </w:r>
      <w:r w:rsidR="0019227D" w:rsidRPr="008C29E3">
        <w:rPr>
          <w:rFonts w:ascii="Calibri" w:hAnsi="Calibri"/>
          <w:lang w:val="en-GB"/>
        </w:rPr>
        <w:t>primary cells</w:t>
      </w:r>
      <w:r w:rsidR="0019227D">
        <w:rPr>
          <w:rFonts w:ascii="Calibri" w:hAnsi="Calibri"/>
          <w:lang w:val="en-GB"/>
        </w:rPr>
        <w:t xml:space="preserve"> or epithelial organoids</w:t>
      </w:r>
      <w:r w:rsidRPr="008C29E3">
        <w:rPr>
          <w:rFonts w:ascii="Calibri" w:hAnsi="Calibri"/>
          <w:lang w:val="en-GB"/>
        </w:rPr>
        <w:t xml:space="preserve">—and more complex systems like </w:t>
      </w:r>
      <w:r w:rsidR="0019227D">
        <w:rPr>
          <w:rFonts w:ascii="Calibri" w:hAnsi="Calibri"/>
          <w:lang w:val="en-GB"/>
        </w:rPr>
        <w:t xml:space="preserve">complexified organoids and </w:t>
      </w:r>
      <w:r w:rsidRPr="008C29E3">
        <w:rPr>
          <w:rFonts w:ascii="Calibri" w:hAnsi="Calibri"/>
          <w:lang w:val="en-GB"/>
        </w:rPr>
        <w:t>Organ-on-Chip technologies.</w:t>
      </w:r>
      <w:r w:rsidR="00A9285E">
        <w:rPr>
          <w:rFonts w:ascii="Calibri" w:hAnsi="Calibri"/>
          <w:lang w:val="en-GB"/>
        </w:rPr>
        <w:t xml:space="preserve"> </w:t>
      </w:r>
      <w:r w:rsidRPr="008C29E3">
        <w:rPr>
          <w:rFonts w:ascii="Calibri" w:hAnsi="Calibri"/>
          <w:lang w:val="en-GB"/>
        </w:rPr>
        <w:t>It was widely acknowledged that</w:t>
      </w:r>
      <w:r w:rsidR="000F53A6">
        <w:rPr>
          <w:rFonts w:ascii="Calibri" w:hAnsi="Calibri"/>
          <w:lang w:val="en-GB"/>
        </w:rPr>
        <w:t>,</w:t>
      </w:r>
      <w:r w:rsidRPr="008C29E3">
        <w:rPr>
          <w:rFonts w:ascii="Calibri" w:hAnsi="Calibri"/>
          <w:lang w:val="en-GB"/>
        </w:rPr>
        <w:t xml:space="preserve"> while complex models tend to offer higher physiological relevance, </w:t>
      </w:r>
      <w:r w:rsidR="00C659C0">
        <w:rPr>
          <w:rFonts w:ascii="Calibri" w:hAnsi="Calibri"/>
          <w:lang w:val="en-GB"/>
        </w:rPr>
        <w:t xml:space="preserve">G2P research </w:t>
      </w:r>
      <w:r w:rsidRPr="008C29E3">
        <w:rPr>
          <w:rFonts w:ascii="Calibri" w:hAnsi="Calibri"/>
          <w:lang w:val="en-GB"/>
        </w:rPr>
        <w:t xml:space="preserve">progress in this area must be built upon a thorough understanding of simpler </w:t>
      </w:r>
      <w:r w:rsidR="000E5E45">
        <w:rPr>
          <w:rFonts w:ascii="Calibri" w:hAnsi="Calibri"/>
          <w:lang w:val="en-GB"/>
        </w:rPr>
        <w:t>and moderately complex</w:t>
      </w:r>
      <w:r w:rsidR="000E5E45" w:rsidRPr="008C29E3">
        <w:rPr>
          <w:rFonts w:ascii="Calibri" w:hAnsi="Calibri"/>
          <w:lang w:val="en-GB"/>
        </w:rPr>
        <w:t xml:space="preserve"> </w:t>
      </w:r>
      <w:r w:rsidRPr="008C29E3">
        <w:rPr>
          <w:rFonts w:ascii="Calibri" w:hAnsi="Calibri"/>
          <w:lang w:val="en-GB"/>
        </w:rPr>
        <w:t xml:space="preserve">systems. </w:t>
      </w:r>
      <w:r w:rsidR="00C659C0">
        <w:rPr>
          <w:rFonts w:ascii="Calibri" w:hAnsi="Calibri"/>
          <w:lang w:val="en-GB"/>
        </w:rPr>
        <w:t>I</w:t>
      </w:r>
      <w:r w:rsidR="00675E2A">
        <w:rPr>
          <w:rFonts w:ascii="Calibri" w:hAnsi="Calibri"/>
          <w:lang w:val="en-GB"/>
        </w:rPr>
        <w:t>mmortalised cell lines</w:t>
      </w:r>
      <w:r w:rsidRPr="008C29E3">
        <w:rPr>
          <w:rFonts w:ascii="Calibri" w:hAnsi="Calibri"/>
          <w:lang w:val="en-GB"/>
        </w:rPr>
        <w:t xml:space="preserve"> </w:t>
      </w:r>
      <w:r w:rsidR="00C659C0">
        <w:rPr>
          <w:rFonts w:ascii="Calibri" w:hAnsi="Calibri"/>
          <w:lang w:val="en-GB"/>
        </w:rPr>
        <w:t xml:space="preserve">can </w:t>
      </w:r>
      <w:r w:rsidRPr="008C29E3">
        <w:rPr>
          <w:rFonts w:ascii="Calibri" w:hAnsi="Calibri"/>
          <w:lang w:val="en-GB"/>
        </w:rPr>
        <w:t>generate essential baseline data and provide scalable, cost-effective platforms</w:t>
      </w:r>
      <w:r w:rsidR="00675E2A">
        <w:rPr>
          <w:rFonts w:ascii="Calibri" w:hAnsi="Calibri"/>
          <w:lang w:val="en-GB"/>
        </w:rPr>
        <w:t xml:space="preserve"> for </w:t>
      </w:r>
      <w:r w:rsidR="00675E2A" w:rsidRPr="008C29E3">
        <w:rPr>
          <w:rFonts w:ascii="Calibri" w:hAnsi="Calibri"/>
          <w:lang w:val="en-GB"/>
        </w:rPr>
        <w:t>hypothesis generation</w:t>
      </w:r>
      <w:r w:rsidR="000C3C69">
        <w:rPr>
          <w:rFonts w:ascii="Calibri" w:hAnsi="Calibri"/>
          <w:lang w:val="en-GB"/>
        </w:rPr>
        <w:t>, e.g.</w:t>
      </w:r>
      <w:r w:rsidR="00C659C0">
        <w:rPr>
          <w:rFonts w:ascii="Calibri" w:hAnsi="Calibri"/>
          <w:lang w:val="en-GB"/>
        </w:rPr>
        <w:t xml:space="preserve"> by CRISPR </w:t>
      </w:r>
      <w:r w:rsidR="00C659C0" w:rsidRPr="008C29E3">
        <w:rPr>
          <w:rFonts w:ascii="Calibri" w:hAnsi="Calibri"/>
          <w:lang w:val="en-GB"/>
        </w:rPr>
        <w:t>screen</w:t>
      </w:r>
      <w:r w:rsidR="00C659C0">
        <w:rPr>
          <w:rFonts w:ascii="Calibri" w:hAnsi="Calibri"/>
          <w:lang w:val="en-GB"/>
        </w:rPr>
        <w:t>s. O</w:t>
      </w:r>
      <w:r w:rsidR="00675E2A">
        <w:rPr>
          <w:rFonts w:ascii="Calibri" w:hAnsi="Calibri"/>
          <w:lang w:val="en-GB"/>
        </w:rPr>
        <w:t>rganoid systems, already widely used in humans and model animals</w:t>
      </w:r>
      <w:r w:rsidR="00C659C0">
        <w:rPr>
          <w:rFonts w:ascii="Calibri" w:hAnsi="Calibri"/>
          <w:lang w:val="en-GB"/>
        </w:rPr>
        <w:t xml:space="preserve"> for several applications</w:t>
      </w:r>
      <w:r w:rsidR="00675E2A">
        <w:rPr>
          <w:rFonts w:ascii="Calibri" w:hAnsi="Calibri"/>
          <w:lang w:val="en-GB"/>
        </w:rPr>
        <w:t xml:space="preserve">, </w:t>
      </w:r>
      <w:r w:rsidR="00C659C0">
        <w:rPr>
          <w:rFonts w:ascii="Calibri" w:hAnsi="Calibri"/>
          <w:lang w:val="en-GB"/>
        </w:rPr>
        <w:t xml:space="preserve">still </w:t>
      </w:r>
      <w:r w:rsidR="00675E2A">
        <w:rPr>
          <w:rFonts w:ascii="Calibri" w:hAnsi="Calibri"/>
          <w:lang w:val="en-GB"/>
        </w:rPr>
        <w:t xml:space="preserve">require work for improving </w:t>
      </w:r>
      <w:r w:rsidR="000C3C69">
        <w:rPr>
          <w:rFonts w:ascii="Calibri" w:hAnsi="Calibri"/>
          <w:lang w:val="en-GB"/>
        </w:rPr>
        <w:t xml:space="preserve">and scalability and </w:t>
      </w:r>
      <w:r w:rsidR="00C659C0">
        <w:rPr>
          <w:rFonts w:ascii="Calibri" w:hAnsi="Calibri"/>
          <w:lang w:val="en-GB"/>
        </w:rPr>
        <w:t>results reproducibility</w:t>
      </w:r>
      <w:r w:rsidR="000C3C69">
        <w:rPr>
          <w:rFonts w:ascii="Calibri" w:hAnsi="Calibri"/>
          <w:lang w:val="en-GB"/>
        </w:rPr>
        <w:t>,</w:t>
      </w:r>
      <w:r w:rsidR="00C659C0">
        <w:rPr>
          <w:rFonts w:ascii="Calibri" w:hAnsi="Calibri"/>
          <w:lang w:val="en-GB"/>
        </w:rPr>
        <w:t xml:space="preserve"> and the sharing of </w:t>
      </w:r>
      <w:r w:rsidR="00675E2A">
        <w:rPr>
          <w:rFonts w:ascii="Calibri" w:hAnsi="Calibri"/>
          <w:lang w:val="en-GB"/>
        </w:rPr>
        <w:t>standards</w:t>
      </w:r>
      <w:r w:rsidRPr="008C29E3">
        <w:rPr>
          <w:rFonts w:ascii="Calibri" w:hAnsi="Calibri"/>
          <w:lang w:val="en-GB"/>
        </w:rPr>
        <w:t xml:space="preserve">. </w:t>
      </w:r>
      <w:r w:rsidR="00C659C0">
        <w:rPr>
          <w:rFonts w:ascii="Calibri" w:hAnsi="Calibri"/>
          <w:lang w:val="en-GB"/>
        </w:rPr>
        <w:t>C</w:t>
      </w:r>
      <w:r w:rsidRPr="008C29E3">
        <w:rPr>
          <w:rFonts w:ascii="Calibri" w:hAnsi="Calibri"/>
          <w:lang w:val="en-GB"/>
        </w:rPr>
        <w:t xml:space="preserve">omplex </w:t>
      </w:r>
      <w:r w:rsidRPr="000D255E">
        <w:rPr>
          <w:rFonts w:ascii="Calibri" w:hAnsi="Calibri"/>
          <w:i/>
          <w:lang w:val="en-GB"/>
        </w:rPr>
        <w:t>in vitro</w:t>
      </w:r>
      <w:r w:rsidRPr="008C29E3">
        <w:rPr>
          <w:rFonts w:ascii="Calibri" w:hAnsi="Calibri"/>
          <w:lang w:val="en-GB"/>
        </w:rPr>
        <w:t xml:space="preserve"> models </w:t>
      </w:r>
      <w:r w:rsidR="00C659C0">
        <w:rPr>
          <w:rFonts w:ascii="Calibri" w:hAnsi="Calibri"/>
          <w:lang w:val="en-GB"/>
        </w:rPr>
        <w:t xml:space="preserve">are at their infancy </w:t>
      </w:r>
      <w:r w:rsidR="000C3C69">
        <w:rPr>
          <w:rFonts w:ascii="Calibri" w:hAnsi="Calibri"/>
          <w:lang w:val="en-GB"/>
        </w:rPr>
        <w:t>in</w:t>
      </w:r>
      <w:r w:rsidR="00C659C0">
        <w:rPr>
          <w:rFonts w:ascii="Calibri" w:hAnsi="Calibri"/>
          <w:lang w:val="en-GB"/>
        </w:rPr>
        <w:t xml:space="preserve"> farmed animals, and so far </w:t>
      </w:r>
      <w:r w:rsidR="000C3C69">
        <w:rPr>
          <w:rFonts w:ascii="Calibri" w:hAnsi="Calibri"/>
          <w:lang w:val="en-GB"/>
        </w:rPr>
        <w:t>are</w:t>
      </w:r>
      <w:r w:rsidR="00C659C0" w:rsidRPr="008C29E3">
        <w:rPr>
          <w:rFonts w:ascii="Calibri" w:hAnsi="Calibri"/>
          <w:lang w:val="en-GB"/>
        </w:rPr>
        <w:t xml:space="preserve"> </w:t>
      </w:r>
      <w:r w:rsidR="00675E2A" w:rsidRPr="008C29E3">
        <w:rPr>
          <w:rFonts w:ascii="Calibri" w:hAnsi="Calibri"/>
          <w:lang w:val="en-GB"/>
        </w:rPr>
        <w:t>be</w:t>
      </w:r>
      <w:r w:rsidR="00675E2A">
        <w:rPr>
          <w:rFonts w:ascii="Calibri" w:hAnsi="Calibri"/>
          <w:lang w:val="en-GB"/>
        </w:rPr>
        <w:t>st</w:t>
      </w:r>
      <w:r w:rsidR="00675E2A" w:rsidRPr="008C29E3">
        <w:rPr>
          <w:rFonts w:ascii="Calibri" w:hAnsi="Calibri"/>
          <w:lang w:val="en-GB"/>
        </w:rPr>
        <w:t xml:space="preserve"> </w:t>
      </w:r>
      <w:r w:rsidRPr="008C29E3">
        <w:rPr>
          <w:rFonts w:ascii="Calibri" w:hAnsi="Calibri"/>
          <w:lang w:val="en-GB"/>
        </w:rPr>
        <w:t xml:space="preserve">suited for validation </w:t>
      </w:r>
      <w:r w:rsidR="000C3C69">
        <w:rPr>
          <w:rFonts w:ascii="Calibri" w:hAnsi="Calibri"/>
          <w:lang w:val="en-GB"/>
        </w:rPr>
        <w:t>of very specific hypotheses</w:t>
      </w:r>
      <w:r w:rsidR="000C3C69" w:rsidRPr="008C29E3">
        <w:rPr>
          <w:rFonts w:ascii="Calibri" w:hAnsi="Calibri"/>
          <w:lang w:val="en-GB"/>
        </w:rPr>
        <w:t xml:space="preserve"> </w:t>
      </w:r>
      <w:r w:rsidRPr="008C29E3">
        <w:rPr>
          <w:rFonts w:ascii="Calibri" w:hAnsi="Calibri"/>
          <w:lang w:val="en-GB"/>
        </w:rPr>
        <w:t>and detailed mechanistic investigations.</w:t>
      </w:r>
      <w:r w:rsidR="00E5397C">
        <w:rPr>
          <w:rFonts w:ascii="Calibri" w:hAnsi="Calibri"/>
          <w:lang w:val="en-GB"/>
        </w:rPr>
        <w:t xml:space="preserve"> </w:t>
      </w:r>
    </w:p>
    <w:p w14:paraId="7180101B" w14:textId="77777777" w:rsidR="007650DF" w:rsidRPr="008C29E3" w:rsidRDefault="007650DF">
      <w:pPr>
        <w:jc w:val="both"/>
        <w:rPr>
          <w:rFonts w:ascii="Calibri" w:hAnsi="Calibri"/>
          <w:lang w:val="en-GB"/>
        </w:rPr>
      </w:pPr>
    </w:p>
    <w:p w14:paraId="58F6C71B" w14:textId="2BBF4538" w:rsidR="007650DF" w:rsidRPr="008C29E3" w:rsidRDefault="00626D0C">
      <w:pPr>
        <w:jc w:val="both"/>
        <w:rPr>
          <w:rFonts w:ascii="Calibri" w:hAnsi="Calibri"/>
          <w:lang w:val="en-GB"/>
        </w:rPr>
      </w:pPr>
      <w:r w:rsidRPr="008C29E3">
        <w:rPr>
          <w:rFonts w:ascii="Calibri" w:hAnsi="Calibri"/>
          <w:lang w:val="en-GB"/>
        </w:rPr>
        <w:t xml:space="preserve">A complementary, tiered approach was therefore discussed as the most effective strategy. By integrating </w:t>
      </w:r>
      <w:r w:rsidRPr="000D255E">
        <w:rPr>
          <w:rFonts w:ascii="Calibri" w:hAnsi="Calibri"/>
          <w:i/>
          <w:lang w:val="en-GB"/>
        </w:rPr>
        <w:t>in vitro</w:t>
      </w:r>
      <w:r w:rsidRPr="008C29E3">
        <w:rPr>
          <w:rFonts w:ascii="Calibri" w:hAnsi="Calibri"/>
          <w:lang w:val="en-GB"/>
        </w:rPr>
        <w:t xml:space="preserve"> systems</w:t>
      </w:r>
      <w:r w:rsidR="003E7AB1">
        <w:rPr>
          <w:rFonts w:ascii="Calibri" w:hAnsi="Calibri"/>
          <w:lang w:val="en-GB"/>
        </w:rPr>
        <w:t xml:space="preserve"> of different complexity</w:t>
      </w:r>
      <w:r w:rsidR="00CB49FA">
        <w:rPr>
          <w:rFonts w:ascii="Calibri" w:hAnsi="Calibri"/>
          <w:lang w:val="en-GB"/>
        </w:rPr>
        <w:t xml:space="preserve"> levels</w:t>
      </w:r>
      <w:r w:rsidR="00EA1AF9">
        <w:rPr>
          <w:rFonts w:ascii="Calibri" w:hAnsi="Calibri"/>
          <w:lang w:val="en-GB"/>
        </w:rPr>
        <w:t xml:space="preserve"> </w:t>
      </w:r>
      <w:r w:rsidRPr="008C29E3">
        <w:rPr>
          <w:rFonts w:ascii="Calibri" w:hAnsi="Calibri"/>
          <w:lang w:val="en-GB"/>
        </w:rPr>
        <w:t xml:space="preserve">the G2P research community can enhance both biological accuracy and experimental efficiency. However, participants also recognized persistent knowledge gaps in fundamental biological processes, emphasizing the ongoing need for basic </w:t>
      </w:r>
      <w:r w:rsidR="003E7AB1">
        <w:rPr>
          <w:rFonts w:ascii="Calibri" w:hAnsi="Calibri"/>
          <w:lang w:val="en-GB"/>
        </w:rPr>
        <w:t xml:space="preserve">cell </w:t>
      </w:r>
      <w:r w:rsidRPr="008C29E3">
        <w:rPr>
          <w:rFonts w:ascii="Calibri" w:hAnsi="Calibri"/>
          <w:lang w:val="en-GB"/>
        </w:rPr>
        <w:t>research.</w:t>
      </w:r>
    </w:p>
    <w:p w14:paraId="0E4134D9" w14:textId="77777777" w:rsidR="007650DF" w:rsidRPr="008C29E3" w:rsidRDefault="007650DF">
      <w:pPr>
        <w:jc w:val="both"/>
        <w:rPr>
          <w:rFonts w:ascii="Calibri" w:hAnsi="Calibri"/>
          <w:lang w:val="en-GB"/>
        </w:rPr>
      </w:pPr>
    </w:p>
    <w:p w14:paraId="76951ABB" w14:textId="4D322FA1" w:rsidR="007650DF" w:rsidRPr="008C29E3" w:rsidRDefault="00626D0C">
      <w:pPr>
        <w:jc w:val="both"/>
        <w:rPr>
          <w:rFonts w:ascii="Calibri" w:hAnsi="Calibri"/>
          <w:lang w:val="en-GB"/>
        </w:rPr>
      </w:pPr>
      <w:r w:rsidRPr="008C29E3">
        <w:rPr>
          <w:rFonts w:ascii="Calibri" w:hAnsi="Calibri"/>
          <w:lang w:val="en-GB"/>
        </w:rPr>
        <w:t xml:space="preserve">To increase the physiological relevance of </w:t>
      </w:r>
      <w:r w:rsidRPr="000D255E">
        <w:rPr>
          <w:rFonts w:ascii="Calibri" w:hAnsi="Calibri"/>
          <w:i/>
          <w:lang w:val="en-GB"/>
        </w:rPr>
        <w:t>in vitro</w:t>
      </w:r>
      <w:r w:rsidRPr="008C29E3">
        <w:rPr>
          <w:rFonts w:ascii="Calibri" w:hAnsi="Calibri"/>
          <w:lang w:val="en-GB"/>
        </w:rPr>
        <w:t xml:space="preserve"> models, a multifaceted approach integrating </w:t>
      </w:r>
      <w:r w:rsidRPr="000D255E">
        <w:rPr>
          <w:rFonts w:ascii="Calibri" w:hAnsi="Calibri"/>
          <w:i/>
          <w:lang w:val="en-GB"/>
        </w:rPr>
        <w:t>in vivo</w:t>
      </w:r>
      <w:r w:rsidRPr="008C29E3">
        <w:rPr>
          <w:rFonts w:ascii="Calibri" w:hAnsi="Calibri"/>
          <w:lang w:val="en-GB"/>
        </w:rPr>
        <w:t xml:space="preserve">, </w:t>
      </w:r>
      <w:r w:rsidRPr="000D255E">
        <w:rPr>
          <w:rFonts w:ascii="Calibri" w:hAnsi="Calibri"/>
          <w:i/>
          <w:lang w:val="en-GB"/>
        </w:rPr>
        <w:t>in vitro</w:t>
      </w:r>
      <w:r w:rsidRPr="008C29E3">
        <w:rPr>
          <w:rFonts w:ascii="Calibri" w:hAnsi="Calibri"/>
          <w:lang w:val="en-GB"/>
        </w:rPr>
        <w:t xml:space="preserve">, and </w:t>
      </w:r>
      <w:r w:rsidRPr="000D255E">
        <w:rPr>
          <w:rFonts w:ascii="Calibri" w:hAnsi="Calibri"/>
          <w:i/>
          <w:lang w:val="en-GB"/>
        </w:rPr>
        <w:t>in silico</w:t>
      </w:r>
      <w:r w:rsidRPr="008C29E3">
        <w:rPr>
          <w:rFonts w:ascii="Calibri" w:hAnsi="Calibri"/>
          <w:lang w:val="en-GB"/>
        </w:rPr>
        <w:t xml:space="preserve"> methodologies was deemed essential. A critical component of this strategy involves the deep molecular characterization of </w:t>
      </w:r>
      <w:r w:rsidRPr="000D255E">
        <w:rPr>
          <w:rFonts w:ascii="Calibri" w:hAnsi="Calibri"/>
          <w:i/>
          <w:lang w:val="en-GB"/>
        </w:rPr>
        <w:t>in vitro</w:t>
      </w:r>
      <w:r w:rsidRPr="008C29E3">
        <w:rPr>
          <w:rFonts w:ascii="Calibri" w:hAnsi="Calibri"/>
          <w:lang w:val="en-GB"/>
        </w:rPr>
        <w:t xml:space="preserve"> systems and </w:t>
      </w:r>
      <w:r w:rsidR="00CB49FA">
        <w:rPr>
          <w:rFonts w:ascii="Calibri" w:hAnsi="Calibri"/>
          <w:lang w:val="en-GB"/>
        </w:rPr>
        <w:t xml:space="preserve">the </w:t>
      </w:r>
      <w:r w:rsidRPr="008C29E3">
        <w:rPr>
          <w:rFonts w:ascii="Calibri" w:hAnsi="Calibri"/>
          <w:lang w:val="en-GB"/>
        </w:rPr>
        <w:t xml:space="preserve">systematic comparisons with their corresponding </w:t>
      </w:r>
      <w:r w:rsidRPr="000D255E">
        <w:rPr>
          <w:rFonts w:ascii="Calibri" w:hAnsi="Calibri"/>
          <w:i/>
          <w:lang w:val="en-GB"/>
        </w:rPr>
        <w:t>in vivo</w:t>
      </w:r>
      <w:r w:rsidRPr="008C29E3">
        <w:rPr>
          <w:rFonts w:ascii="Calibri" w:hAnsi="Calibri"/>
          <w:lang w:val="en-GB"/>
        </w:rPr>
        <w:t xml:space="preserve"> tissues. Such comparative analyses can inform computational model</w:t>
      </w:r>
      <w:r w:rsidR="00CB49FA">
        <w:rPr>
          <w:rFonts w:ascii="Calibri" w:hAnsi="Calibri"/>
          <w:lang w:val="en-GB"/>
        </w:rPr>
        <w:t>l</w:t>
      </w:r>
      <w:r w:rsidRPr="008C29E3">
        <w:rPr>
          <w:rFonts w:ascii="Calibri" w:hAnsi="Calibri"/>
          <w:lang w:val="en-GB"/>
        </w:rPr>
        <w:t xml:space="preserve">ing efforts, enabling simulations that capture the complexity of biological systems and predict outcomes. These predictions, in turn, can guide the design and optimization of </w:t>
      </w:r>
      <w:r w:rsidRPr="000D255E">
        <w:rPr>
          <w:rFonts w:ascii="Calibri" w:hAnsi="Calibri"/>
          <w:i/>
          <w:lang w:val="en-GB"/>
        </w:rPr>
        <w:t>in vitro</w:t>
      </w:r>
      <w:r w:rsidRPr="008C29E3">
        <w:rPr>
          <w:rFonts w:ascii="Calibri" w:hAnsi="Calibri"/>
          <w:lang w:val="en-GB"/>
        </w:rPr>
        <w:t xml:space="preserve"> experiments to more closely mimic </w:t>
      </w:r>
      <w:r w:rsidRPr="000D255E">
        <w:rPr>
          <w:rFonts w:ascii="Calibri" w:hAnsi="Calibri"/>
          <w:i/>
          <w:lang w:val="en-GB"/>
        </w:rPr>
        <w:t>in vivo</w:t>
      </w:r>
      <w:r w:rsidRPr="008C29E3">
        <w:rPr>
          <w:rFonts w:ascii="Calibri" w:hAnsi="Calibri"/>
          <w:lang w:val="en-GB"/>
        </w:rPr>
        <w:t xml:space="preserve"> conditions.</w:t>
      </w:r>
    </w:p>
    <w:p w14:paraId="512F7716" w14:textId="77777777" w:rsidR="007650DF" w:rsidRPr="008C29E3" w:rsidRDefault="007650DF">
      <w:pPr>
        <w:jc w:val="both"/>
        <w:rPr>
          <w:rFonts w:ascii="Calibri" w:hAnsi="Calibri"/>
          <w:lang w:val="en-GB"/>
        </w:rPr>
      </w:pPr>
    </w:p>
    <w:p w14:paraId="24F86A46" w14:textId="77777777" w:rsidR="007650DF" w:rsidRPr="008C29E3" w:rsidRDefault="00626D0C">
      <w:pPr>
        <w:jc w:val="both"/>
        <w:rPr>
          <w:rFonts w:ascii="Calibri" w:hAnsi="Calibri"/>
          <w:lang w:val="en-GB"/>
        </w:rPr>
      </w:pPr>
      <w:r w:rsidRPr="008C29E3">
        <w:rPr>
          <w:rFonts w:ascii="Calibri" w:hAnsi="Calibri"/>
          <w:lang w:val="en-GB"/>
        </w:rPr>
        <w:t xml:space="preserve">Importantly, molecular discrepancies identified through these analyses can be used to refine </w:t>
      </w:r>
      <w:r w:rsidRPr="000D255E">
        <w:rPr>
          <w:rFonts w:ascii="Calibri" w:hAnsi="Calibri"/>
          <w:i/>
          <w:lang w:val="en-GB"/>
        </w:rPr>
        <w:t xml:space="preserve">in vitro </w:t>
      </w:r>
      <w:r w:rsidRPr="008C29E3">
        <w:rPr>
          <w:rFonts w:ascii="Calibri" w:hAnsi="Calibri"/>
          <w:lang w:val="en-GB"/>
        </w:rPr>
        <w:t xml:space="preserve">models via targeted interventions, such as gene editing or optimization of culture conditions in organoid systems. Nevertheless, participants acknowledged a major limitation: many traits relevant to initiatives like the Green Deal or Farm-to-Fork strategy are multifactorial and involve complex systemic interactions. As such, while the multifaceted approach holds significant promise, </w:t>
      </w:r>
      <w:r w:rsidRPr="000D255E">
        <w:rPr>
          <w:rFonts w:ascii="Calibri" w:hAnsi="Calibri"/>
          <w:i/>
          <w:lang w:val="en-GB"/>
        </w:rPr>
        <w:t>in vitro</w:t>
      </w:r>
      <w:r w:rsidRPr="008C29E3">
        <w:rPr>
          <w:rFonts w:ascii="Calibri" w:hAnsi="Calibri"/>
          <w:lang w:val="en-GB"/>
        </w:rPr>
        <w:t xml:space="preserve"> models are likely to remain complementary to </w:t>
      </w:r>
      <w:r w:rsidRPr="000D255E">
        <w:rPr>
          <w:rFonts w:ascii="Calibri" w:hAnsi="Calibri"/>
          <w:i/>
          <w:lang w:val="en-GB"/>
        </w:rPr>
        <w:t xml:space="preserve">in vivo </w:t>
      </w:r>
      <w:r w:rsidRPr="008C29E3">
        <w:rPr>
          <w:rFonts w:ascii="Calibri" w:hAnsi="Calibri"/>
          <w:lang w:val="en-GB"/>
        </w:rPr>
        <w:t>studies for the foreseeable future.</w:t>
      </w:r>
    </w:p>
    <w:p w14:paraId="6911CCC1" w14:textId="77777777" w:rsidR="007650DF" w:rsidRDefault="007650DF">
      <w:pPr>
        <w:pStyle w:val="berschrift2"/>
        <w:rPr>
          <w:sz w:val="28"/>
          <w:szCs w:val="28"/>
        </w:rPr>
      </w:pPr>
    </w:p>
    <w:p w14:paraId="6AE8F355" w14:textId="20071350" w:rsidR="007650DF" w:rsidRPr="00D87785" w:rsidRDefault="00626D0C" w:rsidP="00CB49FA">
      <w:pPr>
        <w:pStyle w:val="berschrift2"/>
        <w:rPr>
          <w:sz w:val="28"/>
          <w:szCs w:val="28"/>
        </w:rPr>
      </w:pPr>
      <w:bookmarkStart w:id="22" w:name="_Toc196688415"/>
      <w:r w:rsidRPr="00D87785">
        <w:rPr>
          <w:sz w:val="28"/>
          <w:szCs w:val="28"/>
        </w:rPr>
        <w:t>3.</w:t>
      </w:r>
      <w:r w:rsidR="00CB49FA" w:rsidRPr="00D87785">
        <w:rPr>
          <w:sz w:val="28"/>
          <w:szCs w:val="28"/>
        </w:rPr>
        <w:t>3</w:t>
      </w:r>
      <w:r w:rsidRPr="00D87785">
        <w:rPr>
          <w:sz w:val="28"/>
          <w:szCs w:val="28"/>
        </w:rPr>
        <w:t xml:space="preserve"> Webinar “Bridging the Gap: Decoding Cell Talk </w:t>
      </w:r>
      <w:r w:rsidRPr="00D87785">
        <w:rPr>
          <w:i/>
          <w:sz w:val="28"/>
          <w:szCs w:val="28"/>
        </w:rPr>
        <w:t>In Vivo</w:t>
      </w:r>
      <w:r w:rsidRPr="00D87785">
        <w:rPr>
          <w:sz w:val="28"/>
          <w:szCs w:val="28"/>
        </w:rPr>
        <w:t xml:space="preserve"> to Build Better </w:t>
      </w:r>
      <w:r w:rsidRPr="00D87785">
        <w:rPr>
          <w:i/>
          <w:sz w:val="28"/>
          <w:szCs w:val="28"/>
        </w:rPr>
        <w:t xml:space="preserve">In Vitro </w:t>
      </w:r>
      <w:r w:rsidRPr="00CB49FA">
        <w:rPr>
          <w:sz w:val="28"/>
          <w:szCs w:val="28"/>
        </w:rPr>
        <w:t>Models</w:t>
      </w:r>
      <w:r w:rsidRPr="00D87785">
        <w:rPr>
          <w:sz w:val="28"/>
          <w:szCs w:val="28"/>
        </w:rPr>
        <w:t>”</w:t>
      </w:r>
      <w:bookmarkEnd w:id="22"/>
    </w:p>
    <w:p w14:paraId="068AB427" w14:textId="0B995CA9" w:rsidR="000D5C5E" w:rsidRPr="000D5C5E" w:rsidRDefault="00462BA7" w:rsidP="0072004C">
      <w:pPr>
        <w:pStyle w:val="StandardWeb"/>
        <w:jc w:val="both"/>
        <w:rPr>
          <w:rFonts w:asciiTheme="minorHAnsi" w:hAnsiTheme="minorHAnsi" w:cstheme="minorHAnsi"/>
          <w:sz w:val="22"/>
          <w:szCs w:val="22"/>
        </w:rPr>
      </w:pPr>
      <w:r>
        <w:rPr>
          <w:rFonts w:asciiTheme="minorHAnsi" w:hAnsiTheme="minorHAnsi" w:cstheme="minorHAnsi"/>
          <w:sz w:val="22"/>
          <w:szCs w:val="22"/>
        </w:rPr>
        <w:t>W</w:t>
      </w:r>
      <w:r w:rsidR="00BF21DF">
        <w:rPr>
          <w:rFonts w:asciiTheme="minorHAnsi" w:hAnsiTheme="minorHAnsi" w:cstheme="minorHAnsi"/>
          <w:sz w:val="22"/>
          <w:szCs w:val="22"/>
        </w:rPr>
        <w:t>e</w:t>
      </w:r>
      <w:r>
        <w:rPr>
          <w:rFonts w:asciiTheme="minorHAnsi" w:hAnsiTheme="minorHAnsi" w:cstheme="minorHAnsi"/>
          <w:sz w:val="22"/>
          <w:szCs w:val="22"/>
        </w:rPr>
        <w:t xml:space="preserve"> have arranged a</w:t>
      </w:r>
      <w:r w:rsidR="000D5C5E" w:rsidRPr="000D5C5E">
        <w:rPr>
          <w:rFonts w:asciiTheme="minorHAnsi" w:hAnsiTheme="minorHAnsi" w:cstheme="minorHAnsi"/>
          <w:sz w:val="22"/>
          <w:szCs w:val="22"/>
        </w:rPr>
        <w:t xml:space="preserve"> webinar </w:t>
      </w:r>
      <w:r w:rsidR="00BF21DF">
        <w:rPr>
          <w:rFonts w:asciiTheme="minorHAnsi" w:hAnsiTheme="minorHAnsi" w:cstheme="minorHAnsi"/>
          <w:sz w:val="22"/>
          <w:szCs w:val="22"/>
        </w:rPr>
        <w:t xml:space="preserve">that aims to </w:t>
      </w:r>
      <w:r w:rsidR="000D5C5E" w:rsidRPr="000D5C5E">
        <w:rPr>
          <w:rFonts w:asciiTheme="minorHAnsi" w:hAnsiTheme="minorHAnsi" w:cstheme="minorHAnsi"/>
          <w:sz w:val="22"/>
          <w:szCs w:val="22"/>
        </w:rPr>
        <w:t>build on ideas presented at the workshop</w:t>
      </w:r>
      <w:r w:rsidR="0072004C">
        <w:rPr>
          <w:rFonts w:asciiTheme="minorHAnsi" w:hAnsiTheme="minorHAnsi" w:cstheme="minorHAnsi"/>
          <w:sz w:val="22"/>
          <w:szCs w:val="22"/>
        </w:rPr>
        <w:t xml:space="preserve"> </w:t>
      </w:r>
      <w:r w:rsidR="0072004C" w:rsidRPr="0072004C">
        <w:rPr>
          <w:rFonts w:asciiTheme="minorHAnsi" w:hAnsiTheme="minorHAnsi" w:cstheme="minorHAnsi"/>
          <w:sz w:val="22"/>
          <w:szCs w:val="22"/>
        </w:rPr>
        <w:t>“Bridging the Gap Between In Vitro and In Vivo G2P Research”</w:t>
      </w:r>
      <w:r w:rsidR="000D5C5E" w:rsidRPr="000D5C5E">
        <w:rPr>
          <w:rFonts w:asciiTheme="minorHAnsi" w:hAnsiTheme="minorHAnsi" w:cstheme="minorHAnsi"/>
          <w:sz w:val="22"/>
          <w:szCs w:val="22"/>
        </w:rPr>
        <w:t>. We have invited Dr. Roser</w:t>
      </w:r>
      <w:r w:rsidR="0072004C">
        <w:rPr>
          <w:rFonts w:asciiTheme="minorHAnsi" w:hAnsiTheme="minorHAnsi" w:cstheme="minorHAnsi"/>
          <w:sz w:val="22"/>
          <w:szCs w:val="22"/>
        </w:rPr>
        <w:t xml:space="preserve"> Vento-Tormo from the Welcome Sanger Institute</w:t>
      </w:r>
      <w:r w:rsidR="000D5C5E" w:rsidRPr="000D5C5E">
        <w:rPr>
          <w:rFonts w:asciiTheme="minorHAnsi" w:hAnsiTheme="minorHAnsi" w:cstheme="minorHAnsi"/>
          <w:sz w:val="22"/>
          <w:szCs w:val="22"/>
        </w:rPr>
        <w:t xml:space="preserve">, a pioneer in developing tools for the analysis of cell–cell communication, particularly through the widely used tool </w:t>
      </w:r>
      <w:r w:rsidR="000D5C5E" w:rsidRPr="00D87785">
        <w:rPr>
          <w:rFonts w:asciiTheme="minorHAnsi" w:hAnsiTheme="minorHAnsi" w:cstheme="minorHAnsi"/>
          <w:color w:val="000000" w:themeColor="text1"/>
          <w:sz w:val="22"/>
          <w:szCs w:val="22"/>
        </w:rPr>
        <w:t>CellPhoneDB</w:t>
      </w:r>
      <w:r w:rsidR="00BF21DF" w:rsidRPr="00D87785">
        <w:rPr>
          <w:rFonts w:asciiTheme="minorHAnsi" w:hAnsiTheme="minorHAnsi" w:cstheme="minorHAnsi"/>
          <w:color w:val="000000" w:themeColor="text1"/>
          <w:sz w:val="22"/>
          <w:szCs w:val="22"/>
        </w:rPr>
        <w:t xml:space="preserve"> (Figure 1)</w:t>
      </w:r>
      <w:r w:rsidR="000D5C5E" w:rsidRPr="00D87785">
        <w:rPr>
          <w:rFonts w:asciiTheme="minorHAnsi" w:hAnsiTheme="minorHAnsi" w:cstheme="minorHAnsi"/>
          <w:color w:val="000000" w:themeColor="text1"/>
          <w:sz w:val="22"/>
          <w:szCs w:val="22"/>
        </w:rPr>
        <w:t>.</w:t>
      </w:r>
    </w:p>
    <w:p w14:paraId="122DF471" w14:textId="77777777" w:rsidR="000D5C5E" w:rsidRPr="000D5C5E" w:rsidRDefault="000D5C5E" w:rsidP="0072004C">
      <w:pPr>
        <w:pStyle w:val="StandardWeb"/>
        <w:jc w:val="both"/>
        <w:rPr>
          <w:rFonts w:asciiTheme="minorHAnsi" w:hAnsiTheme="minorHAnsi" w:cstheme="minorHAnsi"/>
          <w:sz w:val="22"/>
          <w:szCs w:val="22"/>
        </w:rPr>
      </w:pPr>
      <w:r w:rsidRPr="000D5C5E">
        <w:rPr>
          <w:rFonts w:asciiTheme="minorHAnsi" w:hAnsiTheme="minorHAnsi" w:cstheme="minorHAnsi"/>
          <w:sz w:val="22"/>
          <w:szCs w:val="22"/>
        </w:rPr>
        <w:t xml:space="preserve">Dr. </w:t>
      </w:r>
      <w:r w:rsidR="0072004C">
        <w:rPr>
          <w:rFonts w:asciiTheme="minorHAnsi" w:hAnsiTheme="minorHAnsi" w:cstheme="minorHAnsi"/>
          <w:sz w:val="22"/>
          <w:szCs w:val="22"/>
        </w:rPr>
        <w:t>Vento-Tormo</w:t>
      </w:r>
      <w:r w:rsidRPr="000D5C5E">
        <w:rPr>
          <w:rFonts w:asciiTheme="minorHAnsi" w:hAnsiTheme="minorHAnsi" w:cstheme="minorHAnsi"/>
          <w:sz w:val="22"/>
          <w:szCs w:val="22"/>
        </w:rPr>
        <w:t xml:space="preserve"> will present her systems biology approach, which integrates single-cell and spatial transcriptomics, epigenetics, and cell imaging to generate comprehensive maps of human tissues. She will demonstrate how her team uses these maps to guide the development and improve the interpretability of </w:t>
      </w:r>
      <w:r w:rsidRPr="0072004C">
        <w:rPr>
          <w:rFonts w:asciiTheme="minorHAnsi" w:hAnsiTheme="minorHAnsi" w:cstheme="minorHAnsi"/>
          <w:i/>
          <w:sz w:val="22"/>
          <w:szCs w:val="22"/>
        </w:rPr>
        <w:t>in vitro</w:t>
      </w:r>
      <w:r w:rsidRPr="000D5C5E">
        <w:rPr>
          <w:rFonts w:asciiTheme="minorHAnsi" w:hAnsiTheme="minorHAnsi" w:cstheme="minorHAnsi"/>
          <w:sz w:val="22"/>
          <w:szCs w:val="22"/>
        </w:rPr>
        <w:t xml:space="preserve"> models. Her work serves as both a case study and a methodological blueprint for how to achieve a deep understanding of </w:t>
      </w:r>
      <w:r w:rsidRPr="00D87785">
        <w:rPr>
          <w:rFonts w:asciiTheme="minorHAnsi" w:hAnsiTheme="minorHAnsi" w:cstheme="minorHAnsi"/>
          <w:i/>
          <w:iCs/>
          <w:sz w:val="22"/>
          <w:szCs w:val="22"/>
        </w:rPr>
        <w:t>in vivo</w:t>
      </w:r>
      <w:r w:rsidRPr="000D5C5E">
        <w:rPr>
          <w:rFonts w:asciiTheme="minorHAnsi" w:hAnsiTheme="minorHAnsi" w:cstheme="minorHAnsi"/>
          <w:sz w:val="22"/>
          <w:szCs w:val="22"/>
        </w:rPr>
        <w:t xml:space="preserve"> biology to inform and refine cellular model development.</w:t>
      </w:r>
    </w:p>
    <w:p w14:paraId="08075657" w14:textId="77777777" w:rsidR="000D5C5E" w:rsidRPr="000D5C5E" w:rsidRDefault="000D5C5E" w:rsidP="0072004C">
      <w:pPr>
        <w:pStyle w:val="StandardWeb"/>
        <w:jc w:val="both"/>
        <w:rPr>
          <w:rFonts w:asciiTheme="minorHAnsi" w:hAnsiTheme="minorHAnsi" w:cstheme="minorHAnsi"/>
          <w:sz w:val="22"/>
          <w:szCs w:val="22"/>
        </w:rPr>
      </w:pPr>
      <w:r w:rsidRPr="000D5C5E">
        <w:rPr>
          <w:rFonts w:asciiTheme="minorHAnsi" w:hAnsiTheme="minorHAnsi" w:cstheme="minorHAnsi"/>
          <w:sz w:val="22"/>
          <w:szCs w:val="22"/>
        </w:rPr>
        <w:t>We aim to use this presentation as a starting point for a broader discussion on the tools and resources needed to apply similar approaches in farm animal research.</w:t>
      </w:r>
    </w:p>
    <w:p w14:paraId="1C87FF6E" w14:textId="15846709" w:rsidR="000D5C5E" w:rsidRDefault="000D5C5E" w:rsidP="0072004C">
      <w:pPr>
        <w:pStyle w:val="StandardWeb"/>
        <w:jc w:val="both"/>
        <w:rPr>
          <w:rFonts w:asciiTheme="minorHAnsi" w:hAnsiTheme="minorHAnsi" w:cstheme="minorHAnsi"/>
          <w:sz w:val="22"/>
          <w:szCs w:val="22"/>
        </w:rPr>
      </w:pPr>
      <w:r w:rsidRPr="000D5C5E">
        <w:rPr>
          <w:rFonts w:asciiTheme="minorHAnsi" w:hAnsiTheme="minorHAnsi" w:cstheme="minorHAnsi"/>
          <w:sz w:val="22"/>
          <w:szCs w:val="22"/>
        </w:rPr>
        <w:t xml:space="preserve">The webinar will take place on the </w:t>
      </w:r>
      <w:r>
        <w:rPr>
          <w:rFonts w:asciiTheme="minorHAnsi" w:hAnsiTheme="minorHAnsi" w:cstheme="minorHAnsi"/>
          <w:sz w:val="22"/>
          <w:szCs w:val="22"/>
        </w:rPr>
        <w:t>6</w:t>
      </w:r>
      <w:r w:rsidRPr="000D5C5E">
        <w:rPr>
          <w:rFonts w:asciiTheme="minorHAnsi" w:hAnsiTheme="minorHAnsi" w:cstheme="minorHAnsi"/>
          <w:sz w:val="22"/>
          <w:szCs w:val="22"/>
        </w:rPr>
        <w:t>th May</w:t>
      </w:r>
      <w:r w:rsidR="00420A37">
        <w:rPr>
          <w:rFonts w:asciiTheme="minorHAnsi" w:hAnsiTheme="minorHAnsi" w:cstheme="minorHAnsi"/>
          <w:sz w:val="22"/>
          <w:szCs w:val="22"/>
        </w:rPr>
        <w:t xml:space="preserve"> 2025</w:t>
      </w:r>
      <w:r w:rsidRPr="000D5C5E">
        <w:rPr>
          <w:rFonts w:asciiTheme="minorHAnsi" w:hAnsiTheme="minorHAnsi" w:cstheme="minorHAnsi"/>
          <w:sz w:val="22"/>
          <w:szCs w:val="22"/>
        </w:rPr>
        <w:t>. The report will be updated with the outcomes of the discussion following the event.</w:t>
      </w:r>
    </w:p>
    <w:p w14:paraId="285EDECD" w14:textId="77777777" w:rsidR="007650DF" w:rsidRDefault="00916A9C" w:rsidP="000D5C5E">
      <w:pPr>
        <w:pStyle w:val="StandardWeb"/>
        <w:rPr>
          <w:rFonts w:asciiTheme="minorHAnsi" w:hAnsiTheme="minorHAnsi" w:cstheme="minorHAnsi"/>
          <w:color w:val="000000" w:themeColor="text1"/>
          <w:lang w:val="en-US"/>
        </w:rPr>
      </w:pPr>
      <w:r>
        <w:rPr>
          <w:rFonts w:asciiTheme="minorHAnsi" w:hAnsiTheme="minorHAnsi" w:cstheme="minorHAnsi"/>
          <w:noProof/>
          <w:color w:val="000000" w:themeColor="text1"/>
          <w:lang w:val="de-DE" w:eastAsia="de-DE"/>
        </w:rPr>
        <w:drawing>
          <wp:inline distT="0" distB="0" distL="0" distR="0" wp14:anchorId="6C4E5442" wp14:editId="140347BD">
            <wp:extent cx="5490845" cy="3088640"/>
            <wp:effectExtent l="19050" t="19050" r="14605" b="165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uroFAANG] presentatio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90845" cy="3088640"/>
                    </a:xfrm>
                    <a:prstGeom prst="rect">
                      <a:avLst/>
                    </a:prstGeom>
                    <a:ln>
                      <a:solidFill>
                        <a:schemeClr val="tx1"/>
                      </a:solidFill>
                    </a:ln>
                  </pic:spPr>
                </pic:pic>
              </a:graphicData>
            </a:graphic>
          </wp:inline>
        </w:drawing>
      </w:r>
    </w:p>
    <w:p w14:paraId="5A962F05" w14:textId="77777777" w:rsidR="009A2A87" w:rsidRDefault="009A2A87">
      <w:pPr>
        <w:rPr>
          <w:rFonts w:asciiTheme="minorHAnsi" w:hAnsiTheme="minorHAnsi" w:cstheme="minorHAnsi"/>
          <w:color w:val="000000" w:themeColor="text1"/>
          <w:lang w:val="en-US"/>
        </w:rPr>
      </w:pPr>
      <w:r w:rsidRPr="009A2A87">
        <w:rPr>
          <w:rFonts w:asciiTheme="minorHAnsi" w:hAnsiTheme="minorHAnsi" w:cstheme="minorHAnsi"/>
          <w:b/>
          <w:color w:val="000000" w:themeColor="text1"/>
          <w:lang w:val="en-US"/>
        </w:rPr>
        <w:t xml:space="preserve">Figure </w:t>
      </w:r>
      <w:r w:rsidR="001941C4">
        <w:rPr>
          <w:rFonts w:asciiTheme="minorHAnsi" w:hAnsiTheme="minorHAnsi" w:cstheme="minorHAnsi"/>
          <w:b/>
          <w:color w:val="000000" w:themeColor="text1"/>
          <w:lang w:val="en-US"/>
        </w:rPr>
        <w:t>1</w:t>
      </w:r>
      <w:r w:rsidRPr="009A2A87">
        <w:rPr>
          <w:rFonts w:asciiTheme="minorHAnsi" w:hAnsiTheme="minorHAnsi" w:cstheme="minorHAnsi"/>
          <w:b/>
          <w:color w:val="000000" w:themeColor="text1"/>
          <w:lang w:val="en-US"/>
        </w:rPr>
        <w:t>:</w:t>
      </w:r>
      <w:r>
        <w:rPr>
          <w:rFonts w:asciiTheme="minorHAnsi" w:hAnsiTheme="minorHAnsi" w:cstheme="minorHAnsi"/>
          <w:color w:val="000000" w:themeColor="text1"/>
          <w:lang w:val="en-US"/>
        </w:rPr>
        <w:t xml:space="preserve"> </w:t>
      </w:r>
      <w:r w:rsidR="00AF5146">
        <w:rPr>
          <w:rFonts w:asciiTheme="minorHAnsi" w:hAnsiTheme="minorHAnsi" w:cstheme="minorHAnsi"/>
          <w:color w:val="000000" w:themeColor="text1"/>
          <w:lang w:val="en-US"/>
        </w:rPr>
        <w:t>Promotional banner for the webinar, designed by EFFAB</w:t>
      </w:r>
    </w:p>
    <w:p w14:paraId="4E96B6C5" w14:textId="77777777" w:rsidR="005F0453" w:rsidRDefault="005F0453">
      <w:pPr>
        <w:rPr>
          <w:rFonts w:asciiTheme="minorHAnsi" w:hAnsiTheme="minorHAnsi" w:cstheme="minorHAnsi"/>
          <w:color w:val="000000" w:themeColor="text1"/>
          <w:lang w:val="en-US"/>
        </w:rPr>
      </w:pPr>
    </w:p>
    <w:p w14:paraId="06EE893F" w14:textId="70568F18" w:rsidR="007650DF" w:rsidRPr="00D87785" w:rsidRDefault="00626D0C">
      <w:pPr>
        <w:pStyle w:val="berschrift2"/>
        <w:rPr>
          <w:color w:val="1F4E79"/>
          <w:sz w:val="28"/>
          <w:szCs w:val="28"/>
        </w:rPr>
      </w:pPr>
      <w:bookmarkStart w:id="23" w:name="_Toc196688416"/>
      <w:r w:rsidRPr="00D87785">
        <w:rPr>
          <w:color w:val="1F4E79"/>
          <w:sz w:val="28"/>
          <w:szCs w:val="28"/>
        </w:rPr>
        <w:t>3.</w:t>
      </w:r>
      <w:r w:rsidR="00EA3A11" w:rsidRPr="00D87785">
        <w:rPr>
          <w:color w:val="1F4E79"/>
          <w:sz w:val="28"/>
          <w:szCs w:val="28"/>
        </w:rPr>
        <w:t>4</w:t>
      </w:r>
      <w:r w:rsidRPr="00D87785">
        <w:rPr>
          <w:color w:val="1F4E79"/>
          <w:sz w:val="28"/>
          <w:szCs w:val="28"/>
        </w:rPr>
        <w:t xml:space="preserve"> Survey</w:t>
      </w:r>
      <w:r w:rsidR="003D6BA6" w:rsidRPr="003D6BA6">
        <w:rPr>
          <w:color w:val="1F4E79"/>
          <w:sz w:val="28"/>
          <w:szCs w:val="28"/>
        </w:rPr>
        <w:t xml:space="preserve"> gathering input for an inventory of key assets to bridge the gap</w:t>
      </w:r>
      <w:r w:rsidR="003D6BA6" w:rsidRPr="00D87785">
        <w:rPr>
          <w:color w:val="1F4E79"/>
        </w:rPr>
        <w:t xml:space="preserve"> between </w:t>
      </w:r>
      <w:r w:rsidR="003D6BA6" w:rsidRPr="00D87785">
        <w:rPr>
          <w:i/>
          <w:color w:val="1F4E79"/>
          <w:sz w:val="28"/>
          <w:szCs w:val="28"/>
        </w:rPr>
        <w:t>in vitro</w:t>
      </w:r>
      <w:r w:rsidR="003D6BA6" w:rsidRPr="003D6BA6">
        <w:rPr>
          <w:color w:val="1F4E79"/>
          <w:sz w:val="28"/>
          <w:szCs w:val="28"/>
        </w:rPr>
        <w:t xml:space="preserve"> and </w:t>
      </w:r>
      <w:r w:rsidR="003D6BA6" w:rsidRPr="00D87785">
        <w:rPr>
          <w:i/>
          <w:color w:val="1F4E79"/>
          <w:sz w:val="28"/>
          <w:szCs w:val="28"/>
        </w:rPr>
        <w:t>in vivo</w:t>
      </w:r>
      <w:r w:rsidR="003D6BA6" w:rsidRPr="003D6BA6">
        <w:rPr>
          <w:color w:val="1F4E79"/>
          <w:sz w:val="28"/>
          <w:szCs w:val="28"/>
        </w:rPr>
        <w:t xml:space="preserve"> G2P research</w:t>
      </w:r>
      <w:bookmarkEnd w:id="23"/>
    </w:p>
    <w:p w14:paraId="0813FC06" w14:textId="18EB0734" w:rsidR="00916A9C" w:rsidRPr="009D4609" w:rsidRDefault="009D4609" w:rsidP="009D4609">
      <w:pPr>
        <w:jc w:val="both"/>
        <w:rPr>
          <w:rFonts w:asciiTheme="minorHAnsi" w:hAnsiTheme="minorHAnsi" w:cstheme="minorHAnsi"/>
          <w:lang w:val="en-GB" w:eastAsia="en-GB"/>
        </w:rPr>
      </w:pPr>
      <w:r w:rsidRPr="009D4609">
        <w:rPr>
          <w:rFonts w:asciiTheme="minorHAnsi" w:hAnsiTheme="minorHAnsi" w:cstheme="minorHAnsi"/>
          <w:lang w:val="en-GB" w:eastAsia="en-GB"/>
        </w:rPr>
        <w:t xml:space="preserve">To more comprehensively capture the current and emerging applications of </w:t>
      </w:r>
      <w:r w:rsidRPr="00594822">
        <w:rPr>
          <w:rFonts w:asciiTheme="minorHAnsi" w:hAnsiTheme="minorHAnsi" w:cstheme="minorHAnsi"/>
          <w:i/>
          <w:lang w:val="en-GB" w:eastAsia="en-GB"/>
        </w:rPr>
        <w:t>in vitro</w:t>
      </w:r>
      <w:r w:rsidRPr="009D4609">
        <w:rPr>
          <w:rFonts w:asciiTheme="minorHAnsi" w:hAnsiTheme="minorHAnsi" w:cstheme="minorHAnsi"/>
          <w:lang w:val="en-GB" w:eastAsia="en-GB"/>
        </w:rPr>
        <w:t xml:space="preserve"> cellular models, as well as efforts to connect these to </w:t>
      </w:r>
      <w:r w:rsidRPr="00594822">
        <w:rPr>
          <w:rFonts w:asciiTheme="minorHAnsi" w:hAnsiTheme="minorHAnsi" w:cstheme="minorHAnsi"/>
          <w:i/>
          <w:lang w:val="en-GB" w:eastAsia="en-GB"/>
        </w:rPr>
        <w:t>in vivo</w:t>
      </w:r>
      <w:r w:rsidRPr="009D4609">
        <w:rPr>
          <w:rFonts w:asciiTheme="minorHAnsi" w:hAnsiTheme="minorHAnsi" w:cstheme="minorHAnsi"/>
          <w:lang w:val="en-GB" w:eastAsia="en-GB"/>
        </w:rPr>
        <w:t xml:space="preserve"> research, the workshop discussions</w:t>
      </w:r>
      <w:r w:rsidR="007E5A22">
        <w:rPr>
          <w:rFonts w:asciiTheme="minorHAnsi" w:hAnsiTheme="minorHAnsi" w:cstheme="minorHAnsi"/>
          <w:lang w:val="en-GB" w:eastAsia="en-GB"/>
        </w:rPr>
        <w:t xml:space="preserve"> (section </w:t>
      </w:r>
      <w:r w:rsidR="007E5A22">
        <w:rPr>
          <w:rFonts w:asciiTheme="minorHAnsi" w:hAnsiTheme="minorHAnsi" w:cstheme="minorHAnsi"/>
          <w:lang w:val="en-GB" w:eastAsia="en-GB"/>
        </w:rPr>
        <w:lastRenderedPageBreak/>
        <w:t>3.1)</w:t>
      </w:r>
      <w:r w:rsidRPr="009D4609">
        <w:rPr>
          <w:rFonts w:asciiTheme="minorHAnsi" w:hAnsiTheme="minorHAnsi" w:cstheme="minorHAnsi"/>
          <w:lang w:val="en-GB" w:eastAsia="en-GB"/>
        </w:rPr>
        <w:t xml:space="preserve"> were complemented by an online survey. Similar to the workshops, the survey participants were asked a series of thematically related questions. In order to gather novel insights, the survey did not include pre-formulated response options; instead, participants were invited to briefly describe their use of </w:t>
      </w:r>
      <w:r w:rsidRPr="00594822">
        <w:rPr>
          <w:rFonts w:asciiTheme="minorHAnsi" w:hAnsiTheme="minorHAnsi" w:cstheme="minorHAnsi"/>
          <w:i/>
          <w:lang w:val="en-GB" w:eastAsia="en-GB"/>
        </w:rPr>
        <w:t>in vitro</w:t>
      </w:r>
      <w:r w:rsidRPr="009D4609">
        <w:rPr>
          <w:rFonts w:asciiTheme="minorHAnsi" w:hAnsiTheme="minorHAnsi" w:cstheme="minorHAnsi"/>
          <w:lang w:val="en-GB" w:eastAsia="en-GB"/>
        </w:rPr>
        <w:t xml:space="preserve"> cellular models in G2P research, as well as their application of—or awareness of—emerging technologies and networks aimed at bridging the gap between </w:t>
      </w:r>
      <w:r w:rsidRPr="00594822">
        <w:rPr>
          <w:rFonts w:asciiTheme="minorHAnsi" w:hAnsiTheme="minorHAnsi" w:cstheme="minorHAnsi"/>
          <w:i/>
          <w:lang w:val="en-GB" w:eastAsia="en-GB"/>
        </w:rPr>
        <w:t>in vitro</w:t>
      </w:r>
      <w:r w:rsidRPr="009D4609">
        <w:rPr>
          <w:rFonts w:asciiTheme="minorHAnsi" w:hAnsiTheme="minorHAnsi" w:cstheme="minorHAnsi"/>
          <w:lang w:val="en-GB" w:eastAsia="en-GB"/>
        </w:rPr>
        <w:t xml:space="preserve"> and </w:t>
      </w:r>
      <w:r w:rsidRPr="00594822">
        <w:rPr>
          <w:rFonts w:asciiTheme="minorHAnsi" w:hAnsiTheme="minorHAnsi" w:cstheme="minorHAnsi"/>
          <w:i/>
          <w:lang w:val="en-GB" w:eastAsia="en-GB"/>
        </w:rPr>
        <w:t>in vivo</w:t>
      </w:r>
      <w:r w:rsidRPr="009D4609">
        <w:rPr>
          <w:rFonts w:asciiTheme="minorHAnsi" w:hAnsiTheme="minorHAnsi" w:cstheme="minorHAnsi"/>
          <w:lang w:val="en-GB" w:eastAsia="en-GB"/>
        </w:rPr>
        <w:t xml:space="preserve"> research. The survey was initially distributed alongside the workshop invitation (as described in section </w:t>
      </w:r>
      <w:r>
        <w:rPr>
          <w:rFonts w:asciiTheme="minorHAnsi" w:hAnsiTheme="minorHAnsi" w:cstheme="minorHAnsi"/>
          <w:lang w:val="en-GB" w:eastAsia="en-GB"/>
        </w:rPr>
        <w:t>3.1.2</w:t>
      </w:r>
      <w:r w:rsidRPr="009D4609">
        <w:rPr>
          <w:rFonts w:asciiTheme="minorHAnsi" w:hAnsiTheme="minorHAnsi" w:cstheme="minorHAnsi"/>
          <w:lang w:val="en-GB" w:eastAsia="en-GB"/>
        </w:rPr>
        <w:t>). It was later updated and disseminated in a second round to members of the WP4 think tank and lecturers involved in the "G2P in a Dish" workshop</w:t>
      </w:r>
      <w:r w:rsidR="002C2B05">
        <w:rPr>
          <w:rFonts w:asciiTheme="minorHAnsi" w:hAnsiTheme="minorHAnsi" w:cstheme="minorHAnsi"/>
          <w:lang w:val="en-GB" w:eastAsia="en-GB"/>
        </w:rPr>
        <w:t xml:space="preserve"> (Annex 4.3)</w:t>
      </w:r>
      <w:r w:rsidRPr="009D4609">
        <w:rPr>
          <w:rFonts w:asciiTheme="minorHAnsi" w:hAnsiTheme="minorHAnsi" w:cstheme="minorHAnsi"/>
          <w:lang w:val="en-GB" w:eastAsia="en-GB"/>
        </w:rPr>
        <w:t>.</w:t>
      </w:r>
    </w:p>
    <w:p w14:paraId="01B82642" w14:textId="77777777" w:rsidR="00916A9C" w:rsidRPr="00916A9C" w:rsidRDefault="00916A9C" w:rsidP="00916A9C">
      <w:pPr>
        <w:rPr>
          <w:lang w:val="en-GB" w:eastAsia="en-GB"/>
        </w:rPr>
      </w:pPr>
    </w:p>
    <w:p w14:paraId="10A06EAC" w14:textId="675ECBF0" w:rsidR="007650DF" w:rsidRPr="00D87785" w:rsidRDefault="00626D0C" w:rsidP="00D87785">
      <w:pPr>
        <w:pStyle w:val="berschrift3"/>
        <w:rPr>
          <w:color w:val="1F4E79"/>
        </w:rPr>
      </w:pPr>
      <w:bookmarkStart w:id="24" w:name="_Toc196688417"/>
      <w:r w:rsidRPr="00D87785">
        <w:rPr>
          <w:color w:val="1F4E79"/>
        </w:rPr>
        <w:t>3.</w:t>
      </w:r>
      <w:r w:rsidR="00EA3A11" w:rsidRPr="00D87785">
        <w:rPr>
          <w:color w:val="1F4E79"/>
        </w:rPr>
        <w:t>4.1</w:t>
      </w:r>
      <w:r w:rsidRPr="00D87785">
        <w:rPr>
          <w:color w:val="1F4E79"/>
        </w:rPr>
        <w:t xml:space="preserve"> Profile of the respondents</w:t>
      </w:r>
      <w:bookmarkEnd w:id="24"/>
    </w:p>
    <w:p w14:paraId="75C274E8" w14:textId="62A2F8FC" w:rsidR="007650DF" w:rsidRPr="00D87785" w:rsidRDefault="00364B02" w:rsidP="00364B02">
      <w:pPr>
        <w:jc w:val="both"/>
        <w:rPr>
          <w:rFonts w:asciiTheme="majorHAnsi" w:hAnsiTheme="majorHAnsi" w:cstheme="majorHAnsi"/>
          <w:sz w:val="24"/>
          <w:szCs w:val="24"/>
          <w:lang w:val="en-US"/>
        </w:rPr>
      </w:pPr>
      <w:r w:rsidRPr="00D87785">
        <w:rPr>
          <w:rFonts w:asciiTheme="minorHAnsi" w:hAnsiTheme="minorHAnsi" w:cstheme="minorHAnsi"/>
          <w:lang w:val="en-US"/>
        </w:rPr>
        <w:t xml:space="preserve">By April 2025, 18 researchers from six EU countries had responded to the survey (Figure </w:t>
      </w:r>
      <w:r w:rsidR="00613FA3" w:rsidRPr="00D87785">
        <w:rPr>
          <w:rFonts w:asciiTheme="minorHAnsi" w:hAnsiTheme="minorHAnsi" w:cstheme="minorHAnsi"/>
          <w:lang w:val="en-US"/>
        </w:rPr>
        <w:t>2</w:t>
      </w:r>
      <w:r w:rsidRPr="00D87785">
        <w:rPr>
          <w:rFonts w:asciiTheme="minorHAnsi" w:hAnsiTheme="minorHAnsi" w:cstheme="minorHAnsi"/>
          <w:lang w:val="en-US"/>
        </w:rPr>
        <w:t xml:space="preserve">). The relatively modest participation likely reflects both the effort required to complete the open-ended questions and the fact that the topic remains challenging and not yet widely addressed within the broader research community. Notably, approximately </w:t>
      </w:r>
      <w:r w:rsidR="008B626E" w:rsidRPr="00D87785">
        <w:rPr>
          <w:rFonts w:asciiTheme="minorHAnsi" w:hAnsiTheme="minorHAnsi" w:cstheme="minorHAnsi"/>
          <w:lang w:val="en-US"/>
        </w:rPr>
        <w:t>8</w:t>
      </w:r>
      <w:r w:rsidRPr="00D87785">
        <w:rPr>
          <w:rFonts w:asciiTheme="minorHAnsi" w:hAnsiTheme="minorHAnsi" w:cstheme="minorHAnsi"/>
          <w:lang w:val="en-US"/>
        </w:rPr>
        <w:t xml:space="preserve">0% of respondents were senior scientists or principal investigators, indicating a high level of expertise among participants. This is also reflected in the breadth of their responses, which demonstrated extensive knowledge across diverse areas of G2P research (Figure </w:t>
      </w:r>
      <w:r w:rsidR="00613FA3" w:rsidRPr="00D87785">
        <w:rPr>
          <w:rFonts w:asciiTheme="minorHAnsi" w:hAnsiTheme="minorHAnsi" w:cstheme="minorHAnsi"/>
          <w:lang w:val="en-US"/>
        </w:rPr>
        <w:t>3</w:t>
      </w:r>
      <w:r w:rsidRPr="00D87785">
        <w:rPr>
          <w:rFonts w:asciiTheme="minorHAnsi" w:hAnsiTheme="minorHAnsi" w:cstheme="minorHAnsi"/>
          <w:lang w:val="en-US"/>
        </w:rPr>
        <w:t xml:space="preserve">). In terms of species coverage, the survey responses encompassed all major farm animal species (Figure </w:t>
      </w:r>
      <w:r w:rsidR="00613FA3" w:rsidRPr="00D87785">
        <w:rPr>
          <w:rFonts w:asciiTheme="minorHAnsi" w:hAnsiTheme="minorHAnsi" w:cstheme="minorHAnsi"/>
          <w:lang w:val="en-US"/>
        </w:rPr>
        <w:t>4</w:t>
      </w:r>
      <w:r w:rsidRPr="00D87785">
        <w:rPr>
          <w:rFonts w:asciiTheme="minorHAnsi" w:hAnsiTheme="minorHAnsi" w:cstheme="minorHAnsi"/>
          <w:lang w:val="en-US"/>
        </w:rPr>
        <w:t>), as well as commonly used model organisms</w:t>
      </w:r>
      <w:r w:rsidR="00613FA3" w:rsidRPr="00D87785">
        <w:rPr>
          <w:rFonts w:asciiTheme="minorHAnsi" w:hAnsiTheme="minorHAnsi" w:cstheme="minorHAnsi"/>
          <w:lang w:val="en-US"/>
        </w:rPr>
        <w:t xml:space="preserve"> (</w:t>
      </w:r>
      <w:r w:rsidR="002C2B05">
        <w:rPr>
          <w:rFonts w:asciiTheme="minorHAnsi" w:hAnsiTheme="minorHAnsi" w:cstheme="minorHAnsi"/>
          <w:lang w:val="en-US"/>
        </w:rPr>
        <w:t xml:space="preserve">mainly </w:t>
      </w:r>
      <w:r w:rsidR="00613FA3" w:rsidRPr="00D87785">
        <w:rPr>
          <w:rFonts w:asciiTheme="minorHAnsi" w:hAnsiTheme="minorHAnsi" w:cstheme="minorHAnsi"/>
          <w:lang w:val="en-US"/>
        </w:rPr>
        <w:t>rodents)</w:t>
      </w:r>
      <w:r w:rsidRPr="00D87785">
        <w:rPr>
          <w:rFonts w:asciiTheme="minorHAnsi" w:hAnsiTheme="minorHAnsi" w:cstheme="minorHAnsi"/>
          <w:lang w:val="en-US"/>
        </w:rPr>
        <w:t xml:space="preserve">, highlighting the broad application of </w:t>
      </w:r>
      <w:r w:rsidRPr="00D87785">
        <w:rPr>
          <w:rFonts w:asciiTheme="minorHAnsi" w:hAnsiTheme="minorHAnsi" w:cstheme="minorHAnsi"/>
          <w:i/>
          <w:lang w:val="en-US"/>
        </w:rPr>
        <w:t>in vitro</w:t>
      </w:r>
      <w:r w:rsidRPr="00D87785">
        <w:rPr>
          <w:rFonts w:asciiTheme="minorHAnsi" w:hAnsiTheme="minorHAnsi" w:cstheme="minorHAnsi"/>
          <w:lang w:val="en-US"/>
        </w:rPr>
        <w:t xml:space="preserve"> cellular models across different biological systems.</w:t>
      </w:r>
    </w:p>
    <w:p w14:paraId="204AD82E" w14:textId="77777777" w:rsidR="007650DF" w:rsidRDefault="00CB3EBA" w:rsidP="00EE6DE6">
      <w:pPr>
        <w:jc w:val="center"/>
        <w:rPr>
          <w:rFonts w:asciiTheme="minorHAnsi" w:hAnsiTheme="minorHAnsi" w:cstheme="minorHAnsi"/>
          <w:b/>
          <w:lang w:val="en-US"/>
        </w:rPr>
      </w:pPr>
      <w:r>
        <w:rPr>
          <w:rFonts w:asciiTheme="minorHAnsi" w:hAnsiTheme="minorHAnsi" w:cstheme="minorHAnsi"/>
          <w:b/>
          <w:noProof/>
        </w:rPr>
        <w:drawing>
          <wp:inline distT="0" distB="0" distL="0" distR="0" wp14:anchorId="5CE3D687" wp14:editId="2BA9F414">
            <wp:extent cx="2797200" cy="2880000"/>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BaS7-survey-demographic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97200" cy="2880000"/>
                    </a:xfrm>
                    <a:prstGeom prst="rect">
                      <a:avLst/>
                    </a:prstGeom>
                    <a:ln>
                      <a:noFill/>
                    </a:ln>
                  </pic:spPr>
                </pic:pic>
              </a:graphicData>
            </a:graphic>
          </wp:inline>
        </w:drawing>
      </w:r>
    </w:p>
    <w:p w14:paraId="72542517" w14:textId="77777777" w:rsidR="00CB3EBA" w:rsidRDefault="00CB3EBA" w:rsidP="00A7684A">
      <w:pPr>
        <w:jc w:val="center"/>
        <w:rPr>
          <w:rFonts w:asciiTheme="minorHAnsi" w:hAnsiTheme="minorHAnsi" w:cstheme="minorHAnsi"/>
          <w:b/>
          <w:lang w:val="en-US"/>
        </w:rPr>
      </w:pPr>
      <w:r>
        <w:rPr>
          <w:rFonts w:asciiTheme="minorHAnsi" w:hAnsiTheme="minorHAnsi" w:cstheme="minorHAnsi"/>
          <w:b/>
          <w:lang w:val="en-US"/>
        </w:rPr>
        <w:t xml:space="preserve">Figure </w:t>
      </w:r>
      <w:r w:rsidR="001941C4">
        <w:rPr>
          <w:rFonts w:asciiTheme="minorHAnsi" w:hAnsiTheme="minorHAnsi" w:cstheme="minorHAnsi"/>
          <w:b/>
          <w:lang w:val="en-US"/>
        </w:rPr>
        <w:t>2</w:t>
      </w:r>
      <w:r>
        <w:rPr>
          <w:rFonts w:asciiTheme="minorHAnsi" w:hAnsiTheme="minorHAnsi" w:cstheme="minorHAnsi"/>
          <w:b/>
          <w:lang w:val="en-US"/>
        </w:rPr>
        <w:t xml:space="preserve">: </w:t>
      </w:r>
      <w:r w:rsidRPr="00CB3EBA">
        <w:rPr>
          <w:rFonts w:asciiTheme="minorHAnsi" w:hAnsiTheme="minorHAnsi" w:cstheme="minorHAnsi"/>
          <w:b/>
          <w:lang w:val="en-US"/>
        </w:rPr>
        <w:t>Geographical distribution of survey respondents.</w:t>
      </w:r>
    </w:p>
    <w:p w14:paraId="211FCF08" w14:textId="77777777" w:rsidR="00EE6DE6" w:rsidRDefault="00EE6DE6" w:rsidP="00A7684A">
      <w:pPr>
        <w:jc w:val="center"/>
        <w:rPr>
          <w:rFonts w:asciiTheme="minorHAnsi" w:hAnsiTheme="minorHAnsi" w:cstheme="minorHAnsi"/>
          <w:b/>
          <w:lang w:val="en-US"/>
        </w:rPr>
      </w:pPr>
    </w:p>
    <w:p w14:paraId="5C561A21" w14:textId="77777777" w:rsidR="00CB3EBA" w:rsidRDefault="00D9290D">
      <w:pPr>
        <w:rPr>
          <w:rFonts w:asciiTheme="minorHAnsi" w:hAnsiTheme="minorHAnsi" w:cstheme="minorHAnsi"/>
          <w:b/>
          <w:lang w:val="en-US"/>
        </w:rPr>
      </w:pPr>
      <w:r>
        <w:rPr>
          <w:rFonts w:asciiTheme="minorHAnsi" w:hAnsiTheme="minorHAnsi" w:cstheme="minorHAnsi"/>
          <w:b/>
          <w:noProof/>
        </w:rPr>
        <w:lastRenderedPageBreak/>
        <w:drawing>
          <wp:inline distT="0" distB="0" distL="0" distR="0" wp14:anchorId="3205607C" wp14:editId="5AF9D5F9">
            <wp:extent cx="4132800" cy="1800000"/>
            <wp:effectExtent l="0" t="0" r="127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roOf-expertise-of-participant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32800" cy="1800000"/>
                    </a:xfrm>
                    <a:prstGeom prst="rect">
                      <a:avLst/>
                    </a:prstGeom>
                  </pic:spPr>
                </pic:pic>
              </a:graphicData>
            </a:graphic>
          </wp:inline>
        </w:drawing>
      </w:r>
    </w:p>
    <w:p w14:paraId="6E3554FA" w14:textId="77777777" w:rsidR="00EE6DE6" w:rsidRDefault="00EE6DE6" w:rsidP="00EE6DE6">
      <w:pPr>
        <w:rPr>
          <w:rFonts w:asciiTheme="minorHAnsi" w:hAnsiTheme="minorHAnsi" w:cstheme="minorHAnsi"/>
          <w:b/>
          <w:lang w:val="en-US"/>
        </w:rPr>
      </w:pPr>
      <w:r>
        <w:rPr>
          <w:rFonts w:asciiTheme="minorHAnsi" w:hAnsiTheme="minorHAnsi" w:cstheme="minorHAnsi"/>
          <w:b/>
          <w:lang w:val="en-US"/>
        </w:rPr>
        <w:t xml:space="preserve">Figure </w:t>
      </w:r>
      <w:r w:rsidR="001941C4">
        <w:rPr>
          <w:rFonts w:asciiTheme="minorHAnsi" w:hAnsiTheme="minorHAnsi" w:cstheme="minorHAnsi"/>
          <w:b/>
          <w:lang w:val="en-US"/>
        </w:rPr>
        <w:t>3</w:t>
      </w:r>
      <w:r>
        <w:rPr>
          <w:rFonts w:asciiTheme="minorHAnsi" w:hAnsiTheme="minorHAnsi" w:cstheme="minorHAnsi"/>
          <w:b/>
          <w:lang w:val="en-US"/>
        </w:rPr>
        <w:t>: Expertise of participants</w:t>
      </w:r>
      <w:r w:rsidR="00626F72">
        <w:rPr>
          <w:rFonts w:asciiTheme="minorHAnsi" w:hAnsiTheme="minorHAnsi" w:cstheme="minorHAnsi"/>
          <w:b/>
          <w:lang w:val="en-US"/>
        </w:rPr>
        <w:t>.</w:t>
      </w:r>
    </w:p>
    <w:p w14:paraId="0F09F7BB" w14:textId="41698B7D" w:rsidR="00A7684A" w:rsidRDefault="00A7684A">
      <w:pPr>
        <w:rPr>
          <w:rFonts w:asciiTheme="minorHAnsi" w:hAnsiTheme="minorHAnsi" w:cstheme="minorHAnsi"/>
          <w:b/>
          <w:lang w:val="en-US"/>
        </w:rPr>
      </w:pPr>
    </w:p>
    <w:p w14:paraId="7660BF43" w14:textId="77777777" w:rsidR="005F0453" w:rsidRPr="005F0453" w:rsidRDefault="00626F72" w:rsidP="005F0453">
      <w:pPr>
        <w:rPr>
          <w:rFonts w:asciiTheme="minorHAnsi" w:hAnsiTheme="minorHAnsi" w:cstheme="minorHAnsi"/>
          <w:b/>
          <w:lang w:val="en-US"/>
        </w:rPr>
      </w:pPr>
      <w:r>
        <w:rPr>
          <w:rFonts w:asciiTheme="minorHAnsi" w:hAnsiTheme="minorHAnsi" w:cstheme="minorHAnsi"/>
          <w:b/>
          <w:noProof/>
        </w:rPr>
        <w:drawing>
          <wp:inline distT="0" distB="0" distL="0" distR="0" wp14:anchorId="7A93B3D6" wp14:editId="72A763BC">
            <wp:extent cx="4183200" cy="1537200"/>
            <wp:effectExtent l="0" t="0" r="8255" b="635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8Hda-specie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83200" cy="1537200"/>
                    </a:xfrm>
                    <a:prstGeom prst="rect">
                      <a:avLst/>
                    </a:prstGeom>
                    <a:ln>
                      <a:noFill/>
                    </a:ln>
                  </pic:spPr>
                </pic:pic>
              </a:graphicData>
            </a:graphic>
          </wp:inline>
        </w:drawing>
      </w:r>
    </w:p>
    <w:p w14:paraId="789673AF" w14:textId="2DF9EE1C" w:rsidR="003D6BA6" w:rsidRDefault="005F0453" w:rsidP="005F0453">
      <w:pPr>
        <w:rPr>
          <w:rFonts w:asciiTheme="minorHAnsi" w:hAnsiTheme="minorHAnsi" w:cstheme="minorHAnsi"/>
          <w:b/>
          <w:lang w:val="en-US"/>
        </w:rPr>
      </w:pPr>
      <w:r w:rsidRPr="00785138">
        <w:rPr>
          <w:rFonts w:asciiTheme="minorHAnsi" w:hAnsiTheme="minorHAnsi" w:cstheme="minorHAnsi"/>
          <w:b/>
          <w:lang w:val="en-US"/>
        </w:rPr>
        <w:t xml:space="preserve">Figure </w:t>
      </w:r>
      <w:r w:rsidR="001941C4">
        <w:rPr>
          <w:rFonts w:asciiTheme="minorHAnsi" w:hAnsiTheme="minorHAnsi" w:cstheme="minorHAnsi"/>
          <w:b/>
          <w:lang w:val="en-US"/>
        </w:rPr>
        <w:t>4</w:t>
      </w:r>
      <w:r w:rsidRPr="00785138">
        <w:rPr>
          <w:rFonts w:asciiTheme="minorHAnsi" w:hAnsiTheme="minorHAnsi" w:cstheme="minorHAnsi"/>
          <w:b/>
          <w:lang w:val="en-US"/>
        </w:rPr>
        <w:t xml:space="preserve">: </w:t>
      </w:r>
      <w:r>
        <w:rPr>
          <w:rFonts w:asciiTheme="minorHAnsi" w:hAnsiTheme="minorHAnsi" w:cstheme="minorHAnsi"/>
          <w:b/>
          <w:lang w:val="en-US"/>
        </w:rPr>
        <w:t>R</w:t>
      </w:r>
      <w:r w:rsidRPr="00785138">
        <w:rPr>
          <w:rFonts w:asciiTheme="minorHAnsi" w:hAnsiTheme="minorHAnsi" w:cstheme="minorHAnsi"/>
          <w:b/>
          <w:lang w:val="en-US"/>
        </w:rPr>
        <w:t>epresentation of different species/species categories</w:t>
      </w:r>
      <w:r>
        <w:rPr>
          <w:rFonts w:asciiTheme="minorHAnsi" w:hAnsiTheme="minorHAnsi" w:cstheme="minorHAnsi"/>
          <w:b/>
          <w:lang w:val="en-US"/>
        </w:rPr>
        <w:t xml:space="preserve"> in the responses to the survey.</w:t>
      </w:r>
    </w:p>
    <w:p w14:paraId="6D41F9FF" w14:textId="77777777" w:rsidR="0059702D" w:rsidRPr="00D87785" w:rsidRDefault="0059702D" w:rsidP="002F5368">
      <w:pPr>
        <w:rPr>
          <w:lang w:val="en-US" w:eastAsia="en-GB"/>
        </w:rPr>
      </w:pPr>
    </w:p>
    <w:p w14:paraId="5715F8FD" w14:textId="06BDF04E" w:rsidR="00626F72" w:rsidRPr="00D87785" w:rsidRDefault="00626D0C" w:rsidP="00D87785">
      <w:pPr>
        <w:pStyle w:val="berschrift3"/>
        <w:rPr>
          <w:color w:val="1F4E79"/>
        </w:rPr>
      </w:pPr>
      <w:bookmarkStart w:id="25" w:name="_Toc196688418"/>
      <w:r w:rsidRPr="00D87785">
        <w:rPr>
          <w:color w:val="1F4E79"/>
        </w:rPr>
        <w:t>3.</w:t>
      </w:r>
      <w:r w:rsidR="00EA3A11" w:rsidRPr="00D87785">
        <w:rPr>
          <w:color w:val="1F4E79"/>
        </w:rPr>
        <w:t>4.2</w:t>
      </w:r>
      <w:r w:rsidRPr="00D87785">
        <w:rPr>
          <w:color w:val="1F4E79"/>
        </w:rPr>
        <w:t xml:space="preserve"> </w:t>
      </w:r>
      <w:r w:rsidR="009677E5">
        <w:rPr>
          <w:color w:val="1F4E79"/>
        </w:rPr>
        <w:t>Survey insights on available and required assets for the inventory</w:t>
      </w:r>
      <w:bookmarkEnd w:id="25"/>
    </w:p>
    <w:p w14:paraId="00FDF1B5" w14:textId="28673496" w:rsidR="007650DF" w:rsidRPr="00D87785" w:rsidRDefault="00626D0C" w:rsidP="00D87785">
      <w:pPr>
        <w:pStyle w:val="berschrift4"/>
        <w:rPr>
          <w:rFonts w:asciiTheme="minorHAnsi" w:hAnsiTheme="minorHAnsi" w:cstheme="minorHAnsi"/>
          <w:color w:val="1F4E79"/>
          <w:szCs w:val="26"/>
        </w:rPr>
      </w:pPr>
      <w:r w:rsidRPr="00D87785">
        <w:rPr>
          <w:rFonts w:asciiTheme="minorHAnsi" w:hAnsiTheme="minorHAnsi" w:cstheme="minorHAnsi"/>
          <w:color w:val="1F4E79"/>
          <w:szCs w:val="26"/>
        </w:rPr>
        <w:t>3.</w:t>
      </w:r>
      <w:r w:rsidR="00EA3A11" w:rsidRPr="00D87785">
        <w:rPr>
          <w:rFonts w:asciiTheme="minorHAnsi" w:hAnsiTheme="minorHAnsi" w:cstheme="minorHAnsi"/>
          <w:color w:val="1F4E79"/>
          <w:szCs w:val="26"/>
        </w:rPr>
        <w:t>4.2</w:t>
      </w:r>
      <w:r w:rsidR="00954AE0" w:rsidRPr="00D87785">
        <w:rPr>
          <w:rFonts w:asciiTheme="minorHAnsi" w:hAnsiTheme="minorHAnsi" w:cstheme="minorHAnsi"/>
          <w:color w:val="1F4E79"/>
          <w:szCs w:val="26"/>
        </w:rPr>
        <w:t>.</w:t>
      </w:r>
      <w:r w:rsidR="001E7054" w:rsidRPr="00D87785">
        <w:rPr>
          <w:rFonts w:asciiTheme="minorHAnsi" w:hAnsiTheme="minorHAnsi" w:cstheme="minorHAnsi"/>
          <w:color w:val="1F4E79"/>
          <w:szCs w:val="26"/>
        </w:rPr>
        <w:t>1</w:t>
      </w:r>
      <w:r w:rsidRPr="00D87785">
        <w:rPr>
          <w:rFonts w:asciiTheme="minorHAnsi" w:hAnsiTheme="minorHAnsi" w:cstheme="minorHAnsi"/>
          <w:color w:val="1F4E79"/>
          <w:szCs w:val="26"/>
        </w:rPr>
        <w:t xml:space="preserve"> </w:t>
      </w:r>
      <w:r w:rsidR="00954AE0" w:rsidRPr="00D87785">
        <w:rPr>
          <w:rFonts w:asciiTheme="minorHAnsi" w:hAnsiTheme="minorHAnsi" w:cstheme="minorHAnsi"/>
          <w:color w:val="1F4E79"/>
          <w:szCs w:val="26"/>
        </w:rPr>
        <w:t>Application of</w:t>
      </w:r>
      <w:r w:rsidR="001E7054" w:rsidRPr="00D87785">
        <w:rPr>
          <w:rFonts w:asciiTheme="minorHAnsi" w:hAnsiTheme="minorHAnsi" w:cstheme="minorHAnsi"/>
          <w:color w:val="1F4E79"/>
          <w:szCs w:val="26"/>
        </w:rPr>
        <w:t xml:space="preserve"> </w:t>
      </w:r>
      <w:r w:rsidR="001E7054" w:rsidRPr="00D87785">
        <w:rPr>
          <w:rFonts w:asciiTheme="minorHAnsi" w:hAnsiTheme="minorHAnsi" w:cstheme="minorHAnsi"/>
          <w:i/>
          <w:color w:val="1F4E79"/>
          <w:szCs w:val="26"/>
        </w:rPr>
        <w:t>in vitro</w:t>
      </w:r>
      <w:r w:rsidR="001E7054" w:rsidRPr="00D87785">
        <w:rPr>
          <w:rFonts w:asciiTheme="minorHAnsi" w:hAnsiTheme="minorHAnsi" w:cstheme="minorHAnsi"/>
          <w:color w:val="1F4E79"/>
          <w:szCs w:val="26"/>
        </w:rPr>
        <w:t xml:space="preserve"> cellular models in G2P research</w:t>
      </w:r>
    </w:p>
    <w:p w14:paraId="292E6088" w14:textId="005A9469" w:rsidR="00564143" w:rsidRDefault="00D511E0" w:rsidP="00D511E0">
      <w:pPr>
        <w:jc w:val="both"/>
        <w:rPr>
          <w:rFonts w:asciiTheme="minorHAnsi" w:eastAsia="Times New Roman" w:hAnsiTheme="minorHAnsi" w:cstheme="minorHAnsi"/>
          <w:lang w:val="en-GB" w:eastAsia="en-GB"/>
        </w:rPr>
      </w:pPr>
      <w:r w:rsidRPr="00082930">
        <w:rPr>
          <w:rFonts w:asciiTheme="minorHAnsi" w:eastAsia="Times New Roman" w:hAnsiTheme="minorHAnsi" w:cstheme="minorHAnsi"/>
          <w:lang w:val="en-GB" w:eastAsia="en-GB"/>
        </w:rPr>
        <w:t xml:space="preserve">The survey responses revealed that participants primarily use </w:t>
      </w:r>
      <w:r w:rsidRPr="00082930">
        <w:rPr>
          <w:rFonts w:asciiTheme="minorHAnsi" w:eastAsia="Times New Roman" w:hAnsiTheme="minorHAnsi" w:cstheme="minorHAnsi"/>
          <w:i/>
          <w:lang w:val="en-GB" w:eastAsia="en-GB"/>
        </w:rPr>
        <w:t>in vitro</w:t>
      </w:r>
      <w:r w:rsidRPr="00082930">
        <w:rPr>
          <w:rFonts w:asciiTheme="minorHAnsi" w:eastAsia="Times New Roman" w:hAnsiTheme="minorHAnsi" w:cstheme="minorHAnsi"/>
          <w:lang w:val="en-GB" w:eastAsia="en-GB"/>
        </w:rPr>
        <w:t xml:space="preserve"> cellular models to investigate the biology underlying relevant traits—particularly for identifying key genes involved in immune-related processes. Most respondents </w:t>
      </w:r>
      <w:r w:rsidR="00613FA3" w:rsidRPr="00082930">
        <w:rPr>
          <w:rFonts w:asciiTheme="minorHAnsi" w:eastAsia="Times New Roman" w:hAnsiTheme="minorHAnsi" w:cstheme="minorHAnsi"/>
          <w:lang w:val="en-GB" w:eastAsia="en-GB"/>
        </w:rPr>
        <w:t xml:space="preserve">mostly </w:t>
      </w:r>
      <w:r w:rsidRPr="00082930">
        <w:rPr>
          <w:rFonts w:asciiTheme="minorHAnsi" w:eastAsia="Times New Roman" w:hAnsiTheme="minorHAnsi" w:cstheme="minorHAnsi"/>
          <w:lang w:val="en-GB" w:eastAsia="en-GB"/>
        </w:rPr>
        <w:t xml:space="preserve">rely on relatively simple models, such as primary cells or readily available homologous or heterologous immortalized cell lines. While participants demonstrated awareness of a wide range of </w:t>
      </w:r>
      <w:r w:rsidR="00EA3A11" w:rsidRPr="00082930">
        <w:rPr>
          <w:rFonts w:asciiTheme="minorHAnsi" w:eastAsia="Times New Roman" w:hAnsiTheme="minorHAnsi" w:cstheme="minorHAnsi"/>
          <w:lang w:val="en-GB" w:eastAsia="en-GB"/>
        </w:rPr>
        <w:t xml:space="preserve">more </w:t>
      </w:r>
      <w:r w:rsidRPr="00082930">
        <w:rPr>
          <w:rFonts w:asciiTheme="minorHAnsi" w:eastAsia="Times New Roman" w:hAnsiTheme="minorHAnsi" w:cstheme="minorHAnsi"/>
          <w:lang w:val="en-GB" w:eastAsia="en-GB"/>
        </w:rPr>
        <w:t xml:space="preserve">advanced </w:t>
      </w:r>
      <w:r w:rsidRPr="00082930">
        <w:rPr>
          <w:rFonts w:asciiTheme="minorHAnsi" w:eastAsia="Times New Roman" w:hAnsiTheme="minorHAnsi" w:cstheme="minorHAnsi"/>
          <w:i/>
          <w:lang w:val="en-GB" w:eastAsia="en-GB"/>
        </w:rPr>
        <w:t>in vitro</w:t>
      </w:r>
      <w:r w:rsidRPr="00082930">
        <w:rPr>
          <w:rFonts w:asciiTheme="minorHAnsi" w:eastAsia="Times New Roman" w:hAnsiTheme="minorHAnsi" w:cstheme="minorHAnsi"/>
          <w:lang w:val="en-GB" w:eastAsia="en-GB"/>
        </w:rPr>
        <w:t xml:space="preserve"> models—including organoids, organ-on-chip technologies, complex co-culture systems, and induced pluripotent stem cells (iPSCs)—these approaches are not yet widely adopted. As illustrated in </w:t>
      </w:r>
      <w:r w:rsidRPr="00D87785">
        <w:rPr>
          <w:rFonts w:asciiTheme="minorHAnsi" w:eastAsia="Times New Roman" w:hAnsiTheme="minorHAnsi" w:cstheme="minorHAnsi"/>
          <w:lang w:val="en-GB" w:eastAsia="en-GB"/>
        </w:rPr>
        <w:t xml:space="preserve">Figure </w:t>
      </w:r>
      <w:r w:rsidR="00613FA3" w:rsidRPr="00D87785">
        <w:rPr>
          <w:rFonts w:asciiTheme="minorHAnsi" w:eastAsia="Times New Roman" w:hAnsiTheme="minorHAnsi" w:cstheme="minorHAnsi"/>
          <w:lang w:val="en-GB" w:eastAsia="en-GB"/>
        </w:rPr>
        <w:t>5</w:t>
      </w:r>
      <w:r w:rsidRPr="00082930">
        <w:rPr>
          <w:rFonts w:asciiTheme="minorHAnsi" w:eastAsia="Times New Roman" w:hAnsiTheme="minorHAnsi" w:cstheme="minorHAnsi"/>
          <w:lang w:val="en-GB" w:eastAsia="en-GB"/>
        </w:rPr>
        <w:t xml:space="preserve">, current applications remain limited and are largely focused on the use of </w:t>
      </w:r>
      <w:r w:rsidR="00EA3A11" w:rsidRPr="00082930">
        <w:rPr>
          <w:rFonts w:asciiTheme="minorHAnsi" w:eastAsia="Times New Roman" w:hAnsiTheme="minorHAnsi" w:cstheme="minorHAnsi"/>
          <w:lang w:val="en-GB" w:eastAsia="en-GB"/>
        </w:rPr>
        <w:t xml:space="preserve">moderately complex systems such as </w:t>
      </w:r>
      <w:r w:rsidRPr="00082930">
        <w:rPr>
          <w:rFonts w:asciiTheme="minorHAnsi" w:eastAsia="Times New Roman" w:hAnsiTheme="minorHAnsi" w:cstheme="minorHAnsi"/>
          <w:lang w:val="en-GB" w:eastAsia="en-GB"/>
        </w:rPr>
        <w:t xml:space="preserve">organoids or spheroids. </w:t>
      </w:r>
      <w:r w:rsidR="00613FA3" w:rsidRPr="00082930">
        <w:rPr>
          <w:rFonts w:asciiTheme="minorHAnsi" w:eastAsia="Times New Roman" w:hAnsiTheme="minorHAnsi" w:cstheme="minorHAnsi"/>
          <w:lang w:val="en-GB" w:eastAsia="en-GB"/>
        </w:rPr>
        <w:t>T</w:t>
      </w:r>
      <w:r w:rsidRPr="00082930">
        <w:rPr>
          <w:rFonts w:asciiTheme="minorHAnsi" w:eastAsia="Times New Roman" w:hAnsiTheme="minorHAnsi" w:cstheme="minorHAnsi"/>
          <w:lang w:val="en-GB" w:eastAsia="en-GB"/>
        </w:rPr>
        <w:t>he need to develop cell models derived from diverse breeds</w:t>
      </w:r>
      <w:r w:rsidR="00613FA3" w:rsidRPr="00082930">
        <w:rPr>
          <w:rFonts w:asciiTheme="minorHAnsi" w:eastAsia="Times New Roman" w:hAnsiTheme="minorHAnsi" w:cstheme="minorHAnsi"/>
          <w:lang w:val="en-GB" w:eastAsia="en-GB"/>
        </w:rPr>
        <w:t xml:space="preserve"> was also highlighted</w:t>
      </w:r>
      <w:r w:rsidRPr="00082930">
        <w:rPr>
          <w:rFonts w:asciiTheme="minorHAnsi" w:eastAsia="Times New Roman" w:hAnsiTheme="minorHAnsi" w:cstheme="minorHAnsi"/>
          <w:lang w:val="en-GB" w:eastAsia="en-GB"/>
        </w:rPr>
        <w:t>, underscoring a gap in current model availability and a potential area for future development.</w:t>
      </w:r>
    </w:p>
    <w:p w14:paraId="2DFC2D2E" w14:textId="77777777" w:rsidR="00F54A1D" w:rsidRPr="00082930" w:rsidRDefault="00F54A1D" w:rsidP="00D511E0">
      <w:pPr>
        <w:jc w:val="both"/>
        <w:rPr>
          <w:lang w:val="en-GB" w:eastAsia="en-GB"/>
        </w:rPr>
      </w:pPr>
    </w:p>
    <w:p w14:paraId="14685D44" w14:textId="77777777" w:rsidR="00564143" w:rsidRDefault="00D9290D" w:rsidP="005D43DA">
      <w:pPr>
        <w:rPr>
          <w:lang w:val="en-GB" w:eastAsia="en-GB"/>
        </w:rPr>
      </w:pPr>
      <w:r>
        <w:rPr>
          <w:noProof/>
        </w:rPr>
        <w:lastRenderedPageBreak/>
        <w:drawing>
          <wp:inline distT="0" distB="0" distL="0" distR="0" wp14:anchorId="0103EFF0" wp14:editId="5598C161">
            <wp:extent cx="4136400" cy="136080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kaxAR-in-vitro-model.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36400" cy="1360800"/>
                    </a:xfrm>
                    <a:prstGeom prst="rect">
                      <a:avLst/>
                    </a:prstGeom>
                  </pic:spPr>
                </pic:pic>
              </a:graphicData>
            </a:graphic>
          </wp:inline>
        </w:drawing>
      </w:r>
    </w:p>
    <w:p w14:paraId="02CEB1D4" w14:textId="77777777" w:rsidR="00DC440D" w:rsidRPr="00785138" w:rsidRDefault="00DC440D" w:rsidP="00DC440D">
      <w:pPr>
        <w:rPr>
          <w:rFonts w:asciiTheme="minorHAnsi" w:hAnsiTheme="minorHAnsi" w:cstheme="minorHAnsi"/>
          <w:b/>
          <w:lang w:val="en-US"/>
        </w:rPr>
      </w:pPr>
      <w:r w:rsidRPr="00785138">
        <w:rPr>
          <w:rFonts w:asciiTheme="minorHAnsi" w:hAnsiTheme="minorHAnsi" w:cstheme="minorHAnsi"/>
          <w:b/>
          <w:lang w:val="en-US"/>
        </w:rPr>
        <w:t xml:space="preserve">Figure </w:t>
      </w:r>
      <w:r w:rsidR="001941C4">
        <w:rPr>
          <w:rFonts w:asciiTheme="minorHAnsi" w:hAnsiTheme="minorHAnsi" w:cstheme="minorHAnsi"/>
          <w:b/>
          <w:lang w:val="en-US"/>
        </w:rPr>
        <w:t>5</w:t>
      </w:r>
      <w:r w:rsidRPr="00785138">
        <w:rPr>
          <w:rFonts w:asciiTheme="minorHAnsi" w:hAnsiTheme="minorHAnsi" w:cstheme="minorHAnsi"/>
          <w:b/>
          <w:lang w:val="en-US"/>
        </w:rPr>
        <w:t xml:space="preserve">: </w:t>
      </w:r>
      <w:r w:rsidRPr="00DC440D">
        <w:rPr>
          <w:rFonts w:asciiTheme="minorHAnsi" w:hAnsiTheme="minorHAnsi" w:cstheme="minorHAnsi"/>
          <w:b/>
          <w:lang w:val="en-US"/>
        </w:rPr>
        <w:t>Frequency of use of different cell</w:t>
      </w:r>
      <w:r>
        <w:rPr>
          <w:rFonts w:asciiTheme="minorHAnsi" w:hAnsiTheme="minorHAnsi" w:cstheme="minorHAnsi"/>
          <w:b/>
          <w:lang w:val="en-US"/>
        </w:rPr>
        <w:t>ular</w:t>
      </w:r>
      <w:r w:rsidRPr="00DC440D">
        <w:rPr>
          <w:rFonts w:asciiTheme="minorHAnsi" w:hAnsiTheme="minorHAnsi" w:cstheme="minorHAnsi"/>
          <w:b/>
          <w:lang w:val="en-US"/>
        </w:rPr>
        <w:t xml:space="preserve"> models by the participants</w:t>
      </w:r>
    </w:p>
    <w:p w14:paraId="4E88C75D" w14:textId="77777777" w:rsidR="00DC440D" w:rsidRPr="00DC440D" w:rsidRDefault="00DC440D" w:rsidP="005D43DA">
      <w:pPr>
        <w:rPr>
          <w:lang w:val="en-US" w:eastAsia="en-GB"/>
        </w:rPr>
      </w:pPr>
    </w:p>
    <w:p w14:paraId="70552136" w14:textId="1A5937F6" w:rsidR="007650DF" w:rsidRPr="00D87785" w:rsidRDefault="00626D0C" w:rsidP="00D87785">
      <w:pPr>
        <w:pStyle w:val="berschrift4"/>
        <w:rPr>
          <w:rFonts w:asciiTheme="minorHAnsi" w:hAnsiTheme="minorHAnsi" w:cstheme="minorHAnsi"/>
          <w:color w:val="1F4E79"/>
          <w:szCs w:val="26"/>
        </w:rPr>
      </w:pPr>
      <w:r w:rsidRPr="00D87785">
        <w:rPr>
          <w:rFonts w:asciiTheme="minorHAnsi" w:hAnsiTheme="minorHAnsi" w:cstheme="minorHAnsi"/>
          <w:color w:val="1F4E79"/>
          <w:szCs w:val="26"/>
        </w:rPr>
        <w:t>3.</w:t>
      </w:r>
      <w:r w:rsidR="009677E5" w:rsidRPr="00D87785">
        <w:rPr>
          <w:rFonts w:asciiTheme="minorHAnsi" w:hAnsiTheme="minorHAnsi" w:cstheme="minorHAnsi"/>
          <w:color w:val="1F4E79"/>
          <w:szCs w:val="26"/>
        </w:rPr>
        <w:t>4</w:t>
      </w:r>
      <w:r w:rsidRPr="00D87785">
        <w:rPr>
          <w:rFonts w:asciiTheme="minorHAnsi" w:hAnsiTheme="minorHAnsi" w:cstheme="minorHAnsi"/>
          <w:color w:val="1F4E79"/>
          <w:szCs w:val="26"/>
        </w:rPr>
        <w:t>.</w:t>
      </w:r>
      <w:r w:rsidR="00954AE0" w:rsidRPr="00D87785">
        <w:rPr>
          <w:rFonts w:asciiTheme="minorHAnsi" w:hAnsiTheme="minorHAnsi" w:cstheme="minorHAnsi"/>
          <w:color w:val="1F4E79"/>
          <w:szCs w:val="26"/>
        </w:rPr>
        <w:t>2</w:t>
      </w:r>
      <w:r w:rsidRPr="00D87785">
        <w:rPr>
          <w:rFonts w:asciiTheme="minorHAnsi" w:hAnsiTheme="minorHAnsi" w:cstheme="minorHAnsi"/>
          <w:color w:val="1F4E79"/>
          <w:szCs w:val="26"/>
        </w:rPr>
        <w:t>.</w:t>
      </w:r>
      <w:r w:rsidR="00954AE0" w:rsidRPr="00D87785">
        <w:rPr>
          <w:rFonts w:asciiTheme="minorHAnsi" w:hAnsiTheme="minorHAnsi" w:cstheme="minorHAnsi"/>
          <w:color w:val="1F4E79"/>
          <w:szCs w:val="26"/>
        </w:rPr>
        <w:t>2</w:t>
      </w:r>
      <w:r w:rsidRPr="00D87785">
        <w:rPr>
          <w:rFonts w:asciiTheme="minorHAnsi" w:hAnsiTheme="minorHAnsi" w:cstheme="minorHAnsi"/>
          <w:color w:val="1F4E79"/>
          <w:szCs w:val="26"/>
        </w:rPr>
        <w:t xml:space="preserve"> </w:t>
      </w:r>
      <w:r w:rsidR="00954AE0" w:rsidRPr="00D87785">
        <w:rPr>
          <w:rFonts w:asciiTheme="minorHAnsi" w:hAnsiTheme="minorHAnsi" w:cstheme="minorHAnsi"/>
          <w:color w:val="1F4E79"/>
          <w:szCs w:val="26"/>
        </w:rPr>
        <w:t xml:space="preserve">Phenotyping options using </w:t>
      </w:r>
      <w:r w:rsidR="00954AE0" w:rsidRPr="00D87785">
        <w:rPr>
          <w:rFonts w:asciiTheme="minorHAnsi" w:hAnsiTheme="minorHAnsi" w:cstheme="minorHAnsi"/>
          <w:i/>
          <w:color w:val="1F4E79"/>
          <w:szCs w:val="26"/>
        </w:rPr>
        <w:t>in vitro</w:t>
      </w:r>
      <w:r w:rsidR="00954AE0" w:rsidRPr="00D87785">
        <w:rPr>
          <w:rFonts w:asciiTheme="minorHAnsi" w:hAnsiTheme="minorHAnsi" w:cstheme="minorHAnsi"/>
          <w:color w:val="1F4E79"/>
          <w:szCs w:val="26"/>
        </w:rPr>
        <w:t xml:space="preserve"> cellular models in G2P research</w:t>
      </w:r>
    </w:p>
    <w:p w14:paraId="0CE81114" w14:textId="77777777" w:rsidR="009A098A" w:rsidRPr="009A098A" w:rsidRDefault="009A098A" w:rsidP="009A098A">
      <w:pPr>
        <w:jc w:val="both"/>
        <w:rPr>
          <w:rFonts w:asciiTheme="minorHAnsi" w:hAnsiTheme="minorHAnsi" w:cstheme="minorHAnsi"/>
          <w:lang w:val="en-US"/>
        </w:rPr>
      </w:pPr>
      <w:r w:rsidRPr="00D87785">
        <w:rPr>
          <w:rFonts w:asciiTheme="minorHAnsi" w:hAnsiTheme="minorHAnsi" w:cstheme="minorHAnsi"/>
          <w:lang w:val="en-US"/>
        </w:rPr>
        <w:t xml:space="preserve">Figure </w:t>
      </w:r>
      <w:r w:rsidR="00613FA3" w:rsidRPr="00D87785">
        <w:rPr>
          <w:rFonts w:asciiTheme="minorHAnsi" w:hAnsiTheme="minorHAnsi" w:cstheme="minorHAnsi"/>
          <w:lang w:val="en-US"/>
        </w:rPr>
        <w:t>6</w:t>
      </w:r>
      <w:r w:rsidRPr="00082930">
        <w:rPr>
          <w:rFonts w:asciiTheme="minorHAnsi" w:hAnsiTheme="minorHAnsi" w:cstheme="minorHAnsi"/>
          <w:lang w:val="en-US"/>
        </w:rPr>
        <w:t xml:space="preserve"> provides an overview of the approaches used by participants to collect phenotypic data </w:t>
      </w:r>
      <w:r w:rsidRPr="009A098A">
        <w:rPr>
          <w:rFonts w:asciiTheme="minorHAnsi" w:hAnsiTheme="minorHAnsi" w:cstheme="minorHAnsi"/>
          <w:lang w:val="en-US"/>
        </w:rPr>
        <w:t xml:space="preserve">from their </w:t>
      </w:r>
      <w:r w:rsidRPr="00613FA3">
        <w:rPr>
          <w:rFonts w:asciiTheme="minorHAnsi" w:hAnsiTheme="minorHAnsi" w:cstheme="minorHAnsi"/>
          <w:i/>
          <w:lang w:val="en-US"/>
        </w:rPr>
        <w:t>in vitro</w:t>
      </w:r>
      <w:r w:rsidRPr="009A098A">
        <w:rPr>
          <w:rFonts w:asciiTheme="minorHAnsi" w:hAnsiTheme="minorHAnsi" w:cstheme="minorHAnsi"/>
          <w:lang w:val="en-US"/>
        </w:rPr>
        <w:t xml:space="preserve"> cellular models. The most widely used method is bulk transcriptomics, likely due to its </w:t>
      </w:r>
      <w:r w:rsidR="00613FA3">
        <w:rPr>
          <w:rFonts w:asciiTheme="minorHAnsi" w:hAnsiTheme="minorHAnsi" w:cstheme="minorHAnsi"/>
          <w:lang w:val="en-US"/>
        </w:rPr>
        <w:t xml:space="preserve">accessibility and </w:t>
      </w:r>
      <w:r w:rsidRPr="009A098A">
        <w:rPr>
          <w:rFonts w:asciiTheme="minorHAnsi" w:hAnsiTheme="minorHAnsi" w:cstheme="minorHAnsi"/>
          <w:lang w:val="en-US"/>
        </w:rPr>
        <w:t xml:space="preserve">ability to </w:t>
      </w:r>
      <w:r w:rsidR="00613FA3">
        <w:rPr>
          <w:rFonts w:asciiTheme="minorHAnsi" w:hAnsiTheme="minorHAnsi" w:cstheme="minorHAnsi"/>
          <w:lang w:val="en-US"/>
        </w:rPr>
        <w:t>provide</w:t>
      </w:r>
      <w:r w:rsidRPr="009A098A">
        <w:rPr>
          <w:rFonts w:asciiTheme="minorHAnsi" w:hAnsiTheme="minorHAnsi" w:cstheme="minorHAnsi"/>
          <w:lang w:val="en-US"/>
        </w:rPr>
        <w:t xml:space="preserve"> a holistic view of cellular responses to environmental or genetic interventions. Other omics approaches are used less frequently. The second most commonly applied technique is cell imaging.</w:t>
      </w:r>
    </w:p>
    <w:p w14:paraId="3DE3D481" w14:textId="6BC48732" w:rsidR="009A098A" w:rsidRPr="009A098A" w:rsidRDefault="009A098A" w:rsidP="009A098A">
      <w:pPr>
        <w:jc w:val="both"/>
        <w:rPr>
          <w:rFonts w:asciiTheme="minorHAnsi" w:hAnsiTheme="minorHAnsi" w:cstheme="minorHAnsi"/>
          <w:lang w:val="en-US"/>
        </w:rPr>
      </w:pPr>
      <w:r w:rsidRPr="009A098A">
        <w:rPr>
          <w:rFonts w:asciiTheme="minorHAnsi" w:hAnsiTheme="minorHAnsi" w:cstheme="minorHAnsi"/>
          <w:lang w:val="en-US"/>
        </w:rPr>
        <w:t xml:space="preserve">Importantly, the majority of participants utilize functional readouts from their cell models. A wide variety of assays </w:t>
      </w:r>
      <w:r w:rsidR="00AD6971">
        <w:rPr>
          <w:rFonts w:asciiTheme="minorHAnsi" w:hAnsiTheme="minorHAnsi" w:cstheme="minorHAnsi"/>
          <w:lang w:val="en-US"/>
        </w:rPr>
        <w:t xml:space="preserve">quantifying functional cellular phenotypes </w:t>
      </w:r>
      <w:r w:rsidRPr="009A098A">
        <w:rPr>
          <w:rFonts w:asciiTheme="minorHAnsi" w:hAnsiTheme="minorHAnsi" w:cstheme="minorHAnsi"/>
          <w:lang w:val="en-US"/>
        </w:rPr>
        <w:t>were mentioned, depending on the specific cell types used, making the list of approaches quite extensive. In addition to classical assays—such as those measuring cell growth and viability—participants also reported using more targeted assays</w:t>
      </w:r>
      <w:r w:rsidR="00613FA3">
        <w:rPr>
          <w:rFonts w:asciiTheme="minorHAnsi" w:hAnsiTheme="minorHAnsi" w:cstheme="minorHAnsi"/>
          <w:lang w:val="en-US"/>
        </w:rPr>
        <w:t>, for example</w:t>
      </w:r>
      <w:r w:rsidRPr="009A098A">
        <w:rPr>
          <w:rFonts w:asciiTheme="minorHAnsi" w:hAnsiTheme="minorHAnsi" w:cstheme="minorHAnsi"/>
          <w:lang w:val="en-US"/>
        </w:rPr>
        <w:t xml:space="preserve"> to assess metabolic flux, nutrient uptake, and nutrient deposition.</w:t>
      </w:r>
    </w:p>
    <w:p w14:paraId="685C2118" w14:textId="77777777" w:rsidR="009A098A" w:rsidRPr="009A098A" w:rsidRDefault="009A098A" w:rsidP="009A098A">
      <w:pPr>
        <w:jc w:val="both"/>
        <w:rPr>
          <w:rFonts w:asciiTheme="minorHAnsi" w:hAnsiTheme="minorHAnsi" w:cstheme="minorHAnsi"/>
          <w:lang w:val="en-US"/>
        </w:rPr>
      </w:pPr>
      <w:r w:rsidRPr="009A098A">
        <w:rPr>
          <w:rFonts w:asciiTheme="minorHAnsi" w:hAnsiTheme="minorHAnsi" w:cstheme="minorHAnsi"/>
          <w:lang w:val="en-US"/>
        </w:rPr>
        <w:t>This diverse collection of techniques underscores two key points: first, that functional assays are considered essential; and second, that many participants rely on customized approaches, reflecting an active and evolving area of methodological development. The breadth of these techniques also points to the need for a more systematic survey to map the existing research infrastructure across the EU and facilitate broader access to these valuable resources.</w:t>
      </w:r>
    </w:p>
    <w:p w14:paraId="316E7375" w14:textId="35EE1738" w:rsidR="00DC440D" w:rsidRDefault="009A098A" w:rsidP="009A098A">
      <w:pPr>
        <w:jc w:val="both"/>
        <w:rPr>
          <w:rFonts w:asciiTheme="minorHAnsi" w:hAnsiTheme="minorHAnsi" w:cstheme="minorHAnsi"/>
          <w:lang w:val="en-US"/>
        </w:rPr>
      </w:pPr>
      <w:r w:rsidRPr="009A098A">
        <w:rPr>
          <w:rFonts w:asciiTheme="minorHAnsi" w:hAnsiTheme="minorHAnsi" w:cstheme="minorHAnsi"/>
          <w:lang w:val="en-US"/>
        </w:rPr>
        <w:t>Regarding emerging technologies, participants frequently mentioned single-cell omics, including single-cell and spatial transcriptomics and proteomics. However, as shown in Figure 2, these advanced techniques are not yet widely applied. In addition, participants identified upcoming developments in robotics for automated phenotypic data collection, as well as AI and deep learning methods for predicting cellular phenotypes and the outcomes of experimental perturbations.</w:t>
      </w:r>
    </w:p>
    <w:p w14:paraId="09FD91D8" w14:textId="77777777" w:rsidR="0059702D" w:rsidRDefault="0059702D" w:rsidP="009A098A">
      <w:pPr>
        <w:jc w:val="both"/>
        <w:rPr>
          <w:rFonts w:asciiTheme="minorHAnsi" w:hAnsiTheme="minorHAnsi" w:cstheme="minorHAnsi"/>
          <w:lang w:val="en-US"/>
        </w:rPr>
      </w:pPr>
    </w:p>
    <w:p w14:paraId="75500BE5" w14:textId="77777777" w:rsidR="00DC440D" w:rsidRDefault="00583FEA">
      <w:pPr>
        <w:jc w:val="both"/>
        <w:rPr>
          <w:rFonts w:asciiTheme="minorHAnsi" w:hAnsiTheme="minorHAnsi" w:cstheme="minorHAnsi"/>
          <w:lang w:val="en-US"/>
        </w:rPr>
      </w:pPr>
      <w:r>
        <w:rPr>
          <w:rFonts w:asciiTheme="minorHAnsi" w:hAnsiTheme="minorHAnsi" w:cstheme="minorHAnsi"/>
          <w:noProof/>
        </w:rPr>
        <w:drawing>
          <wp:inline distT="0" distB="0" distL="0" distR="0" wp14:anchorId="3A9F48AA" wp14:editId="54040EE6">
            <wp:extent cx="4143600" cy="1843200"/>
            <wp:effectExtent l="0" t="0" r="0" b="508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2hxs-assay-typ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43600" cy="1843200"/>
                    </a:xfrm>
                    <a:prstGeom prst="rect">
                      <a:avLst/>
                    </a:prstGeom>
                  </pic:spPr>
                </pic:pic>
              </a:graphicData>
            </a:graphic>
          </wp:inline>
        </w:drawing>
      </w:r>
    </w:p>
    <w:p w14:paraId="1AE53978" w14:textId="77777777" w:rsidR="00583FEA" w:rsidRPr="00785138" w:rsidRDefault="00583FEA" w:rsidP="00583FEA">
      <w:pPr>
        <w:rPr>
          <w:rFonts w:asciiTheme="minorHAnsi" w:hAnsiTheme="minorHAnsi" w:cstheme="minorHAnsi"/>
          <w:b/>
          <w:lang w:val="en-US"/>
        </w:rPr>
      </w:pPr>
      <w:r w:rsidRPr="00785138">
        <w:rPr>
          <w:rFonts w:asciiTheme="minorHAnsi" w:hAnsiTheme="minorHAnsi" w:cstheme="minorHAnsi"/>
          <w:b/>
          <w:lang w:val="en-US"/>
        </w:rPr>
        <w:t xml:space="preserve">Figure </w:t>
      </w:r>
      <w:r w:rsidR="001941C4">
        <w:rPr>
          <w:rFonts w:asciiTheme="minorHAnsi" w:hAnsiTheme="minorHAnsi" w:cstheme="minorHAnsi"/>
          <w:b/>
          <w:lang w:val="en-US"/>
        </w:rPr>
        <w:t>6</w:t>
      </w:r>
      <w:r w:rsidRPr="00785138">
        <w:rPr>
          <w:rFonts w:asciiTheme="minorHAnsi" w:hAnsiTheme="minorHAnsi" w:cstheme="minorHAnsi"/>
          <w:b/>
          <w:lang w:val="en-US"/>
        </w:rPr>
        <w:t xml:space="preserve">: </w:t>
      </w:r>
      <w:r w:rsidRPr="00DC440D">
        <w:rPr>
          <w:rFonts w:asciiTheme="minorHAnsi" w:hAnsiTheme="minorHAnsi" w:cstheme="minorHAnsi"/>
          <w:b/>
          <w:lang w:val="en-US"/>
        </w:rPr>
        <w:t xml:space="preserve">Frequency of </w:t>
      </w:r>
      <w:r>
        <w:rPr>
          <w:rFonts w:asciiTheme="minorHAnsi" w:hAnsiTheme="minorHAnsi" w:cstheme="minorHAnsi"/>
          <w:b/>
          <w:lang w:val="en-US"/>
        </w:rPr>
        <w:t>application</w:t>
      </w:r>
      <w:r w:rsidRPr="00DC440D">
        <w:rPr>
          <w:rFonts w:asciiTheme="minorHAnsi" w:hAnsiTheme="minorHAnsi" w:cstheme="minorHAnsi"/>
          <w:b/>
          <w:lang w:val="en-US"/>
        </w:rPr>
        <w:t xml:space="preserve"> of different </w:t>
      </w:r>
      <w:r>
        <w:rPr>
          <w:rFonts w:asciiTheme="minorHAnsi" w:hAnsiTheme="minorHAnsi" w:cstheme="minorHAnsi"/>
          <w:b/>
          <w:lang w:val="en-US"/>
        </w:rPr>
        <w:t>phenotyping approaches</w:t>
      </w:r>
      <w:r w:rsidRPr="00DC440D">
        <w:rPr>
          <w:rFonts w:asciiTheme="minorHAnsi" w:hAnsiTheme="minorHAnsi" w:cstheme="minorHAnsi"/>
          <w:b/>
          <w:lang w:val="en-US"/>
        </w:rPr>
        <w:t xml:space="preserve"> by the participants</w:t>
      </w:r>
    </w:p>
    <w:p w14:paraId="66DA6C03" w14:textId="77777777" w:rsidR="00583FEA" w:rsidRDefault="00583FEA">
      <w:pPr>
        <w:jc w:val="both"/>
        <w:rPr>
          <w:rFonts w:asciiTheme="minorHAnsi" w:hAnsiTheme="minorHAnsi" w:cstheme="minorHAnsi"/>
          <w:lang w:val="en-US"/>
        </w:rPr>
      </w:pPr>
    </w:p>
    <w:p w14:paraId="7FC4416A" w14:textId="6D837728" w:rsidR="007650DF" w:rsidRPr="00D87785" w:rsidRDefault="00626D0C" w:rsidP="00D87785">
      <w:pPr>
        <w:pStyle w:val="berschrift4"/>
        <w:rPr>
          <w:rFonts w:asciiTheme="minorHAnsi" w:hAnsiTheme="minorHAnsi" w:cstheme="minorHAnsi"/>
          <w:color w:val="1F4E79"/>
          <w:szCs w:val="26"/>
        </w:rPr>
      </w:pPr>
      <w:r w:rsidRPr="00D87785">
        <w:rPr>
          <w:rFonts w:asciiTheme="minorHAnsi" w:hAnsiTheme="minorHAnsi" w:cstheme="minorHAnsi"/>
          <w:color w:val="1F4E79"/>
          <w:szCs w:val="26"/>
        </w:rPr>
        <w:lastRenderedPageBreak/>
        <w:t>3.</w:t>
      </w:r>
      <w:r w:rsidR="009677E5" w:rsidRPr="00D87785">
        <w:rPr>
          <w:rFonts w:asciiTheme="minorHAnsi" w:hAnsiTheme="minorHAnsi" w:cstheme="minorHAnsi"/>
          <w:color w:val="1F4E79"/>
          <w:szCs w:val="26"/>
        </w:rPr>
        <w:t>4</w:t>
      </w:r>
      <w:r w:rsidRPr="00D87785">
        <w:rPr>
          <w:rFonts w:asciiTheme="minorHAnsi" w:hAnsiTheme="minorHAnsi" w:cstheme="minorHAnsi"/>
          <w:color w:val="1F4E79"/>
          <w:szCs w:val="26"/>
        </w:rPr>
        <w:t>.</w:t>
      </w:r>
      <w:r w:rsidR="00954AE0" w:rsidRPr="00D87785">
        <w:rPr>
          <w:rFonts w:asciiTheme="minorHAnsi" w:hAnsiTheme="minorHAnsi" w:cstheme="minorHAnsi"/>
          <w:color w:val="1F4E79"/>
          <w:szCs w:val="26"/>
        </w:rPr>
        <w:t>2</w:t>
      </w:r>
      <w:r w:rsidRPr="00D87785">
        <w:rPr>
          <w:rFonts w:asciiTheme="minorHAnsi" w:hAnsiTheme="minorHAnsi" w:cstheme="minorHAnsi"/>
          <w:color w:val="1F4E79"/>
          <w:szCs w:val="26"/>
        </w:rPr>
        <w:t>.</w:t>
      </w:r>
      <w:r w:rsidR="00954AE0" w:rsidRPr="00D87785">
        <w:rPr>
          <w:rFonts w:asciiTheme="minorHAnsi" w:hAnsiTheme="minorHAnsi" w:cstheme="minorHAnsi"/>
          <w:color w:val="1F4E79"/>
          <w:szCs w:val="26"/>
        </w:rPr>
        <w:t>3</w:t>
      </w:r>
      <w:r w:rsidRPr="00D87785">
        <w:rPr>
          <w:rFonts w:asciiTheme="minorHAnsi" w:hAnsiTheme="minorHAnsi" w:cstheme="minorHAnsi"/>
          <w:color w:val="1F4E79"/>
          <w:szCs w:val="26"/>
        </w:rPr>
        <w:t xml:space="preserve"> </w:t>
      </w:r>
      <w:r w:rsidR="009F5EA2" w:rsidRPr="00D87785">
        <w:rPr>
          <w:rFonts w:asciiTheme="minorHAnsi" w:hAnsiTheme="minorHAnsi" w:cstheme="minorHAnsi"/>
          <w:color w:val="1F4E79"/>
          <w:szCs w:val="26"/>
        </w:rPr>
        <w:t xml:space="preserve">Approaches and Infrastructure for Linking </w:t>
      </w:r>
      <w:r w:rsidR="009F5EA2" w:rsidRPr="00D87785">
        <w:rPr>
          <w:rFonts w:asciiTheme="minorHAnsi" w:hAnsiTheme="minorHAnsi" w:cstheme="minorHAnsi"/>
          <w:i/>
          <w:color w:val="1F4E79"/>
          <w:szCs w:val="26"/>
        </w:rPr>
        <w:t>In Vitro</w:t>
      </w:r>
      <w:r w:rsidR="009F5EA2" w:rsidRPr="00D87785">
        <w:rPr>
          <w:rFonts w:asciiTheme="minorHAnsi" w:hAnsiTheme="minorHAnsi" w:cstheme="minorHAnsi"/>
          <w:color w:val="1F4E79"/>
          <w:szCs w:val="26"/>
        </w:rPr>
        <w:t xml:space="preserve"> Models with </w:t>
      </w:r>
      <w:r w:rsidR="009F5EA2" w:rsidRPr="00D87785">
        <w:rPr>
          <w:rFonts w:asciiTheme="minorHAnsi" w:hAnsiTheme="minorHAnsi" w:cstheme="minorHAnsi"/>
          <w:i/>
          <w:color w:val="1F4E79"/>
          <w:szCs w:val="26"/>
        </w:rPr>
        <w:t>In Vivo</w:t>
      </w:r>
      <w:r w:rsidR="009F5EA2" w:rsidRPr="00D87785">
        <w:rPr>
          <w:rFonts w:asciiTheme="minorHAnsi" w:hAnsiTheme="minorHAnsi" w:cstheme="minorHAnsi"/>
          <w:color w:val="1F4E79"/>
          <w:szCs w:val="26"/>
        </w:rPr>
        <w:t xml:space="preserve"> Data in G2P Research</w:t>
      </w:r>
    </w:p>
    <w:p w14:paraId="270E7572" w14:textId="77777777" w:rsidR="009F5EA2" w:rsidRPr="009F5EA2" w:rsidRDefault="009F5EA2" w:rsidP="009F5EA2">
      <w:pPr>
        <w:jc w:val="both"/>
        <w:rPr>
          <w:rFonts w:asciiTheme="minorHAnsi" w:eastAsia="Times New Roman" w:hAnsiTheme="minorHAnsi" w:cstheme="minorHAnsi"/>
          <w:lang w:val="en-GB" w:eastAsia="en-GB"/>
        </w:rPr>
      </w:pPr>
      <w:r w:rsidRPr="009F5EA2">
        <w:rPr>
          <w:rFonts w:asciiTheme="minorHAnsi" w:eastAsia="Times New Roman" w:hAnsiTheme="minorHAnsi" w:cstheme="minorHAnsi"/>
          <w:lang w:val="en-GB" w:eastAsia="en-GB"/>
        </w:rPr>
        <w:t xml:space="preserve">Approximately two-thirds of the participants indicated that they are, in one way or another, connecting their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research with </w:t>
      </w:r>
      <w:r w:rsidRPr="00D87785">
        <w:rPr>
          <w:rFonts w:asciiTheme="minorHAnsi" w:eastAsia="Times New Roman" w:hAnsiTheme="minorHAnsi" w:cstheme="minorHAnsi"/>
          <w:i/>
          <w:iCs/>
          <w:lang w:val="en-GB" w:eastAsia="en-GB"/>
        </w:rPr>
        <w:t xml:space="preserve">in vivo </w:t>
      </w:r>
      <w:r w:rsidRPr="009F5EA2">
        <w:rPr>
          <w:rFonts w:asciiTheme="minorHAnsi" w:eastAsia="Times New Roman" w:hAnsiTheme="minorHAnsi" w:cstheme="minorHAnsi"/>
          <w:lang w:val="en-GB" w:eastAsia="en-GB"/>
        </w:rPr>
        <w:t xml:space="preserve">data. A synthesis of the responses shows that the most common approach is to correlate gene expression data obtained from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models with phenotypic observations—including gene expression—from </w:t>
      </w:r>
      <w:r w:rsidRPr="008D55C7">
        <w:rPr>
          <w:rFonts w:asciiTheme="minorHAnsi" w:eastAsia="Times New Roman" w:hAnsiTheme="minorHAnsi" w:cstheme="minorHAnsi"/>
          <w:i/>
          <w:lang w:val="en-GB" w:eastAsia="en-GB"/>
        </w:rPr>
        <w:t>in vivo</w:t>
      </w:r>
      <w:r w:rsidRPr="009F5EA2">
        <w:rPr>
          <w:rFonts w:asciiTheme="minorHAnsi" w:eastAsia="Times New Roman" w:hAnsiTheme="minorHAnsi" w:cstheme="minorHAnsi"/>
          <w:lang w:val="en-GB" w:eastAsia="en-GB"/>
        </w:rPr>
        <w:t xml:space="preserve"> studies.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experiments are also used to inform and optimize perturbations in </w:t>
      </w:r>
      <w:r w:rsidRPr="008D55C7">
        <w:rPr>
          <w:rFonts w:asciiTheme="minorHAnsi" w:eastAsia="Times New Roman" w:hAnsiTheme="minorHAnsi" w:cstheme="minorHAnsi"/>
          <w:i/>
          <w:lang w:val="en-GB" w:eastAsia="en-GB"/>
        </w:rPr>
        <w:t>in vivo</w:t>
      </w:r>
      <w:r w:rsidRPr="009F5EA2">
        <w:rPr>
          <w:rFonts w:asciiTheme="minorHAnsi" w:eastAsia="Times New Roman" w:hAnsiTheme="minorHAnsi" w:cstheme="minorHAnsi"/>
          <w:lang w:val="en-GB" w:eastAsia="en-GB"/>
        </w:rPr>
        <w:t xml:space="preserve"> experiments.</w:t>
      </w:r>
    </w:p>
    <w:p w14:paraId="70BC6CA7" w14:textId="77777777" w:rsidR="009F5EA2" w:rsidRPr="009F5EA2" w:rsidRDefault="009F5EA2" w:rsidP="009F5EA2">
      <w:pPr>
        <w:jc w:val="both"/>
        <w:rPr>
          <w:rFonts w:asciiTheme="minorHAnsi" w:eastAsia="Times New Roman" w:hAnsiTheme="minorHAnsi" w:cstheme="minorHAnsi"/>
          <w:lang w:val="en-GB" w:eastAsia="en-GB"/>
        </w:rPr>
      </w:pPr>
      <w:r w:rsidRPr="009F5EA2">
        <w:rPr>
          <w:rFonts w:asciiTheme="minorHAnsi" w:eastAsia="Times New Roman" w:hAnsiTheme="minorHAnsi" w:cstheme="minorHAnsi"/>
          <w:lang w:val="en-GB" w:eastAsia="en-GB"/>
        </w:rPr>
        <w:t xml:space="preserve">Participants most frequently mentioned single-cell and spatial omics technologies as well as advanced imaging techniques as current methods for linking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and </w:t>
      </w:r>
      <w:r w:rsidRPr="00D87785">
        <w:rPr>
          <w:rFonts w:asciiTheme="minorHAnsi" w:eastAsia="Times New Roman" w:hAnsiTheme="minorHAnsi" w:cstheme="minorHAnsi"/>
          <w:i/>
          <w:iCs/>
          <w:lang w:val="en-GB" w:eastAsia="en-GB"/>
        </w:rPr>
        <w:t>in vivo</w:t>
      </w:r>
      <w:r w:rsidRPr="009F5EA2">
        <w:rPr>
          <w:rFonts w:asciiTheme="minorHAnsi" w:eastAsia="Times New Roman" w:hAnsiTheme="minorHAnsi" w:cstheme="minorHAnsi"/>
          <w:lang w:val="en-GB" w:eastAsia="en-GB"/>
        </w:rPr>
        <w:t xml:space="preserve"> research. Additionally, there was a strong emphasis on the need for data-sharing platforms, which are viewed as essential for enabling integrative analyses across different layers of functional data—such as combining imaging data with spatial transcriptomics—and for supporting the development of </w:t>
      </w:r>
      <w:r w:rsidR="008D55C7">
        <w:rPr>
          <w:rFonts w:asciiTheme="minorHAnsi" w:eastAsia="Times New Roman" w:hAnsiTheme="minorHAnsi" w:cstheme="minorHAnsi"/>
          <w:lang w:val="en-GB" w:eastAsia="en-GB"/>
        </w:rPr>
        <w:t>computational</w:t>
      </w:r>
      <w:r w:rsidRPr="009F5EA2">
        <w:rPr>
          <w:rFonts w:asciiTheme="minorHAnsi" w:eastAsia="Times New Roman" w:hAnsiTheme="minorHAnsi" w:cstheme="minorHAnsi"/>
          <w:lang w:val="en-GB" w:eastAsia="en-GB"/>
        </w:rPr>
        <w:t xml:space="preserve"> tools </w:t>
      </w:r>
      <w:r w:rsidR="008D55C7">
        <w:rPr>
          <w:rFonts w:asciiTheme="minorHAnsi" w:eastAsia="Times New Roman" w:hAnsiTheme="minorHAnsi" w:cstheme="minorHAnsi"/>
          <w:lang w:val="en-GB" w:eastAsia="en-GB"/>
        </w:rPr>
        <w:t xml:space="preserve">(e.g. using AI) </w:t>
      </w:r>
      <w:r w:rsidRPr="009F5EA2">
        <w:rPr>
          <w:rFonts w:asciiTheme="minorHAnsi" w:eastAsia="Times New Roman" w:hAnsiTheme="minorHAnsi" w:cstheme="minorHAnsi"/>
          <w:lang w:val="en-GB" w:eastAsia="en-GB"/>
        </w:rPr>
        <w:t>for such purposes. Data sharing is also seen as an important opportunity to validate findings. The usefulness of such platforms would be significantly enhanced if data were made available in FAIR and machine-readable formats.</w:t>
      </w:r>
    </w:p>
    <w:p w14:paraId="07A1457F" w14:textId="77777777" w:rsidR="009F5EA2" w:rsidRPr="009F5EA2" w:rsidRDefault="009F5EA2" w:rsidP="009F5EA2">
      <w:pPr>
        <w:jc w:val="both"/>
        <w:rPr>
          <w:rFonts w:asciiTheme="minorHAnsi" w:eastAsia="Times New Roman" w:hAnsiTheme="minorHAnsi" w:cstheme="minorHAnsi"/>
          <w:lang w:val="en-GB" w:eastAsia="en-GB"/>
        </w:rPr>
      </w:pPr>
      <w:r w:rsidRPr="009F5EA2">
        <w:rPr>
          <w:rFonts w:asciiTheme="minorHAnsi" w:eastAsia="Times New Roman" w:hAnsiTheme="minorHAnsi" w:cstheme="minorHAnsi"/>
          <w:lang w:val="en-GB" w:eastAsia="en-GB"/>
        </w:rPr>
        <w:t xml:space="preserve">A deeper understanding of cellular interactions and cell function within their native tissue context was identified as a key prerequisite for improving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cellular models. In this context, the development of tissue cell atlases, as currently being undertaken in human biology, was seen as an important first step. Participants also proposed the creation of biobanks of cells, such as stem cells derived from deeply phenotyped animals, from which advanced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models could be developed for use in parallel </w:t>
      </w:r>
      <w:r w:rsidRPr="008D55C7">
        <w:rPr>
          <w:rFonts w:asciiTheme="minorHAnsi" w:eastAsia="Times New Roman" w:hAnsiTheme="minorHAnsi" w:cstheme="minorHAnsi"/>
          <w:i/>
          <w:lang w:val="en-GB" w:eastAsia="en-GB"/>
        </w:rPr>
        <w:t>in vitro</w:t>
      </w:r>
      <w:r w:rsidRPr="009F5EA2">
        <w:rPr>
          <w:rFonts w:asciiTheme="minorHAnsi" w:eastAsia="Times New Roman" w:hAnsiTheme="minorHAnsi" w:cstheme="minorHAnsi"/>
          <w:lang w:val="en-GB" w:eastAsia="en-GB"/>
        </w:rPr>
        <w:t xml:space="preserve"> and </w:t>
      </w:r>
      <w:r w:rsidRPr="008D55C7">
        <w:rPr>
          <w:rFonts w:asciiTheme="minorHAnsi" w:eastAsia="Times New Roman" w:hAnsiTheme="minorHAnsi" w:cstheme="minorHAnsi"/>
          <w:i/>
          <w:lang w:val="en-GB" w:eastAsia="en-GB"/>
        </w:rPr>
        <w:t>in vivo</w:t>
      </w:r>
      <w:r w:rsidRPr="009F5EA2">
        <w:rPr>
          <w:rFonts w:asciiTheme="minorHAnsi" w:eastAsia="Times New Roman" w:hAnsiTheme="minorHAnsi" w:cstheme="minorHAnsi"/>
          <w:lang w:val="en-GB" w:eastAsia="en-GB"/>
        </w:rPr>
        <w:t xml:space="preserve"> studies. At the same time, participants highlighted the continued need to improve simpler models, such as established cell lines.</w:t>
      </w:r>
    </w:p>
    <w:p w14:paraId="50F3D24E" w14:textId="13717B1F" w:rsidR="007B24D1" w:rsidRDefault="003C1F8F" w:rsidP="007B24D1">
      <w:pPr>
        <w:jc w:val="both"/>
        <w:rPr>
          <w:rFonts w:asciiTheme="minorHAnsi" w:eastAsia="Times New Roman" w:hAnsiTheme="minorHAnsi" w:cstheme="minorHAnsi"/>
          <w:lang w:val="en-GB" w:eastAsia="en-GB"/>
        </w:rPr>
      </w:pPr>
      <w:r>
        <w:rPr>
          <w:rFonts w:asciiTheme="minorHAnsi" w:eastAsia="Times New Roman" w:hAnsiTheme="minorHAnsi" w:cstheme="minorHAnsi"/>
          <w:lang w:val="en-GB" w:eastAsia="en-GB"/>
        </w:rPr>
        <w:t>Approximately</w:t>
      </w:r>
      <w:r w:rsidR="009F5EA2" w:rsidRPr="009F5EA2">
        <w:rPr>
          <w:rFonts w:asciiTheme="minorHAnsi" w:eastAsia="Times New Roman" w:hAnsiTheme="minorHAnsi" w:cstheme="minorHAnsi"/>
          <w:lang w:val="en-GB" w:eastAsia="en-GB"/>
        </w:rPr>
        <w:t xml:space="preserve"> half of the participants indicated awareness of scientific networks relevant to bridging the gap between </w:t>
      </w:r>
      <w:r w:rsidR="009F5EA2" w:rsidRPr="008D55C7">
        <w:rPr>
          <w:rFonts w:asciiTheme="minorHAnsi" w:eastAsia="Times New Roman" w:hAnsiTheme="minorHAnsi" w:cstheme="minorHAnsi"/>
          <w:i/>
          <w:lang w:val="en-GB" w:eastAsia="en-GB"/>
        </w:rPr>
        <w:t>in vitro</w:t>
      </w:r>
      <w:r w:rsidR="009F5EA2" w:rsidRPr="009F5EA2">
        <w:rPr>
          <w:rFonts w:asciiTheme="minorHAnsi" w:eastAsia="Times New Roman" w:hAnsiTheme="minorHAnsi" w:cstheme="minorHAnsi"/>
          <w:lang w:val="en-GB" w:eastAsia="en-GB"/>
        </w:rPr>
        <w:t xml:space="preserve"> and </w:t>
      </w:r>
      <w:r w:rsidR="009F5EA2" w:rsidRPr="008D55C7">
        <w:rPr>
          <w:rFonts w:asciiTheme="minorHAnsi" w:eastAsia="Times New Roman" w:hAnsiTheme="minorHAnsi" w:cstheme="minorHAnsi"/>
          <w:i/>
          <w:lang w:val="en-GB" w:eastAsia="en-GB"/>
        </w:rPr>
        <w:t>in vivo</w:t>
      </w:r>
      <w:r w:rsidR="009F5EA2" w:rsidRPr="009F5EA2">
        <w:rPr>
          <w:rFonts w:asciiTheme="minorHAnsi" w:eastAsia="Times New Roman" w:hAnsiTheme="minorHAnsi" w:cstheme="minorHAnsi"/>
          <w:lang w:val="en-GB" w:eastAsia="en-GB"/>
        </w:rPr>
        <w:t xml:space="preserve"> research. While </w:t>
      </w:r>
      <w:r w:rsidR="008D55C7">
        <w:rPr>
          <w:rFonts w:asciiTheme="minorHAnsi" w:eastAsia="Times New Roman" w:hAnsiTheme="minorHAnsi" w:cstheme="minorHAnsi"/>
          <w:lang w:val="en-GB" w:eastAsia="en-GB"/>
        </w:rPr>
        <w:t>EuroFAANG</w:t>
      </w:r>
      <w:r w:rsidR="009F5EA2" w:rsidRPr="009F5EA2">
        <w:rPr>
          <w:rFonts w:asciiTheme="minorHAnsi" w:eastAsia="Times New Roman" w:hAnsiTheme="minorHAnsi" w:cstheme="minorHAnsi"/>
          <w:lang w:val="en-GB" w:eastAsia="en-GB"/>
        </w:rPr>
        <w:t xml:space="preserve"> was mentioned several times, most of the networks cited were from outside the farm animal research community, indicating a notable gap in this area.</w:t>
      </w:r>
      <w:r w:rsidR="008D55C7">
        <w:rPr>
          <w:rFonts w:asciiTheme="minorHAnsi" w:eastAsia="Times New Roman" w:hAnsiTheme="minorHAnsi" w:cstheme="minorHAnsi"/>
          <w:lang w:val="en-GB" w:eastAsia="en-GB"/>
        </w:rPr>
        <w:t xml:space="preserve"> The other mentioned networks </w:t>
      </w:r>
      <w:r w:rsidR="008D55C7" w:rsidRPr="008D55C7">
        <w:rPr>
          <w:rFonts w:asciiTheme="minorHAnsi" w:eastAsia="Times New Roman" w:hAnsiTheme="minorHAnsi" w:cstheme="minorHAnsi"/>
          <w:lang w:val="en-GB" w:eastAsia="en-GB"/>
        </w:rPr>
        <w:t>included:</w:t>
      </w:r>
    </w:p>
    <w:p w14:paraId="34D7EAE1" w14:textId="77777777" w:rsidR="007B24D1" w:rsidRDefault="007B24D1" w:rsidP="007B24D1">
      <w:pPr>
        <w:jc w:val="both"/>
        <w:rPr>
          <w:rFonts w:asciiTheme="minorHAnsi" w:eastAsia="Times New Roman" w:hAnsiTheme="minorHAnsi" w:cstheme="minorHAnsi"/>
          <w:lang w:val="en-GB" w:eastAsia="en-GB"/>
        </w:rPr>
      </w:pPr>
    </w:p>
    <w:p w14:paraId="5A5A8CD5" w14:textId="77777777" w:rsidR="005D5AF1" w:rsidRPr="005D5AF1" w:rsidRDefault="005D5AF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Aquaexcel3.0 EU project</w:t>
      </w:r>
    </w:p>
    <w:p w14:paraId="5ED9B213" w14:textId="77777777" w:rsidR="007B24D1" w:rsidRPr="005D5AF1" w:rsidRDefault="007B24D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Utrecht Platform for Organoid Technology</w:t>
      </w:r>
    </w:p>
    <w:p w14:paraId="609175EA" w14:textId="77777777" w:rsidR="007B24D1" w:rsidRPr="005D5AF1" w:rsidRDefault="007B24D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Le Groupement de recherche Organoides</w:t>
      </w:r>
    </w:p>
    <w:p w14:paraId="47658B3E" w14:textId="77777777" w:rsidR="007B24D1" w:rsidRPr="005D5AF1" w:rsidRDefault="007B24D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The Netherlands Organ-on-Chip Initiative</w:t>
      </w:r>
    </w:p>
    <w:p w14:paraId="1D9B9F52" w14:textId="77777777" w:rsidR="007B24D1" w:rsidRPr="005D5AF1" w:rsidRDefault="005D5AF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 xml:space="preserve">EUROoCS - </w:t>
      </w:r>
      <w:r w:rsidR="007B24D1" w:rsidRPr="005D5AF1">
        <w:rPr>
          <w:rFonts w:asciiTheme="minorHAnsi" w:eastAsia="Times New Roman" w:hAnsiTheme="minorHAnsi" w:cstheme="minorHAnsi"/>
          <w:b/>
        </w:rPr>
        <w:t>The European Organ-on-Chip Society</w:t>
      </w:r>
    </w:p>
    <w:p w14:paraId="763BBF70" w14:textId="77777777" w:rsidR="007B24D1" w:rsidRPr="005D5AF1" w:rsidRDefault="007B24D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INFRAFRONTIER  - the European Research Infrastructure for Modelling Human Diseases</w:t>
      </w:r>
    </w:p>
    <w:p w14:paraId="6D2C23CC" w14:textId="77777777" w:rsidR="007B24D1" w:rsidRPr="005D5AF1" w:rsidRDefault="007B24D1" w:rsidP="005D5AF1">
      <w:pPr>
        <w:pStyle w:val="Listenabsatz"/>
        <w:numPr>
          <w:ilvl w:val="0"/>
          <w:numId w:val="15"/>
        </w:numPr>
        <w:jc w:val="both"/>
        <w:rPr>
          <w:rFonts w:asciiTheme="minorHAnsi" w:eastAsia="Times New Roman" w:hAnsiTheme="minorHAnsi" w:cstheme="minorHAnsi"/>
          <w:b/>
        </w:rPr>
      </w:pPr>
      <w:r w:rsidRPr="005D5AF1">
        <w:rPr>
          <w:rFonts w:asciiTheme="minorHAnsi" w:eastAsia="Times New Roman" w:hAnsiTheme="minorHAnsi" w:cstheme="minorHAnsi"/>
          <w:b/>
        </w:rPr>
        <w:t>SCOG - Single Cell Omics Germany</w:t>
      </w:r>
    </w:p>
    <w:p w14:paraId="5166298B" w14:textId="19559349" w:rsidR="000B0A81" w:rsidRDefault="000B0A81">
      <w:pPr>
        <w:spacing w:line="240" w:lineRule="auto"/>
        <w:rPr>
          <w:rFonts w:asciiTheme="minorHAnsi" w:hAnsiTheme="minorHAnsi" w:cstheme="minorHAnsi"/>
          <w:lang w:val="en-GB" w:eastAsia="en-GB"/>
        </w:rPr>
      </w:pPr>
      <w:r>
        <w:rPr>
          <w:rFonts w:asciiTheme="minorHAnsi" w:hAnsiTheme="minorHAnsi" w:cstheme="minorHAnsi"/>
          <w:lang w:val="en-GB" w:eastAsia="en-GB"/>
        </w:rPr>
        <w:br w:type="page"/>
      </w:r>
    </w:p>
    <w:p w14:paraId="57548AA4" w14:textId="677F2C3F" w:rsidR="007650DF" w:rsidRDefault="00626D0C">
      <w:pPr>
        <w:pStyle w:val="berschrift2"/>
        <w:rPr>
          <w:sz w:val="28"/>
          <w:szCs w:val="28"/>
        </w:rPr>
      </w:pPr>
      <w:bookmarkStart w:id="26" w:name="_Toc196688419"/>
      <w:r>
        <w:rPr>
          <w:sz w:val="28"/>
          <w:szCs w:val="28"/>
        </w:rPr>
        <w:lastRenderedPageBreak/>
        <w:t>3.</w:t>
      </w:r>
      <w:r w:rsidR="00EA3A11">
        <w:rPr>
          <w:sz w:val="28"/>
          <w:szCs w:val="28"/>
        </w:rPr>
        <w:t xml:space="preserve">5 </w:t>
      </w:r>
      <w:r>
        <w:rPr>
          <w:sz w:val="28"/>
          <w:szCs w:val="28"/>
        </w:rPr>
        <w:t>Conclusions and Next Steps</w:t>
      </w:r>
      <w:bookmarkEnd w:id="26"/>
    </w:p>
    <w:p w14:paraId="6157AAEA" w14:textId="484017D3" w:rsidR="00946811" w:rsidRDefault="00946811" w:rsidP="00946811">
      <w:pPr>
        <w:jc w:val="both"/>
        <w:rPr>
          <w:rFonts w:asciiTheme="minorHAnsi" w:hAnsiTheme="minorHAnsi" w:cstheme="minorHAnsi"/>
          <w:lang w:val="en-US"/>
        </w:rPr>
      </w:pPr>
      <w:r w:rsidRPr="00946811">
        <w:rPr>
          <w:rFonts w:asciiTheme="minorHAnsi" w:hAnsiTheme="minorHAnsi" w:cstheme="minorHAnsi"/>
          <w:lang w:val="en-US"/>
        </w:rPr>
        <w:t xml:space="preserve">The activities within this task identified a </w:t>
      </w:r>
      <w:r w:rsidR="00896635">
        <w:rPr>
          <w:rFonts w:asciiTheme="minorHAnsi" w:hAnsiTheme="minorHAnsi" w:cstheme="minorHAnsi"/>
          <w:lang w:val="en-US"/>
        </w:rPr>
        <w:t>wide</w:t>
      </w:r>
      <w:r w:rsidR="00896635" w:rsidRPr="00946811">
        <w:rPr>
          <w:rFonts w:asciiTheme="minorHAnsi" w:hAnsiTheme="minorHAnsi" w:cstheme="minorHAnsi"/>
          <w:lang w:val="en-US"/>
        </w:rPr>
        <w:t xml:space="preserve"> </w:t>
      </w:r>
      <w:r w:rsidRPr="00946811">
        <w:rPr>
          <w:rFonts w:asciiTheme="minorHAnsi" w:hAnsiTheme="minorHAnsi" w:cstheme="minorHAnsi"/>
          <w:lang w:val="en-US"/>
        </w:rPr>
        <w:t xml:space="preserve">range of potential applications for </w:t>
      </w:r>
      <w:r w:rsidRPr="00946811">
        <w:rPr>
          <w:rFonts w:asciiTheme="minorHAnsi" w:hAnsiTheme="minorHAnsi" w:cstheme="minorHAnsi"/>
          <w:i/>
          <w:lang w:val="en-US"/>
        </w:rPr>
        <w:t xml:space="preserve">in vitro </w:t>
      </w:r>
      <w:r w:rsidRPr="00946811">
        <w:rPr>
          <w:rFonts w:asciiTheme="minorHAnsi" w:hAnsiTheme="minorHAnsi" w:cstheme="minorHAnsi"/>
          <w:lang w:val="en-US"/>
        </w:rPr>
        <w:t>models</w:t>
      </w:r>
      <w:r w:rsidR="00DE417A">
        <w:rPr>
          <w:rFonts w:asciiTheme="minorHAnsi" w:hAnsiTheme="minorHAnsi" w:cstheme="minorHAnsi"/>
          <w:lang w:val="en-US"/>
        </w:rPr>
        <w:t xml:space="preserve"> </w:t>
      </w:r>
      <w:r w:rsidR="007703F4">
        <w:rPr>
          <w:rFonts w:asciiTheme="minorHAnsi" w:hAnsiTheme="minorHAnsi" w:cstheme="minorHAnsi"/>
          <w:lang w:val="en-US"/>
        </w:rPr>
        <w:t>to</w:t>
      </w:r>
      <w:r w:rsidR="00896635">
        <w:rPr>
          <w:rFonts w:asciiTheme="minorHAnsi" w:hAnsiTheme="minorHAnsi" w:cstheme="minorHAnsi"/>
          <w:lang w:val="en-US"/>
        </w:rPr>
        <w:t xml:space="preserve"> support</w:t>
      </w:r>
      <w:r w:rsidR="00DE417A" w:rsidRPr="00DE417A">
        <w:rPr>
          <w:rFonts w:asciiTheme="minorHAnsi" w:hAnsiTheme="minorHAnsi" w:cstheme="minorHAnsi"/>
          <w:lang w:val="en-US"/>
        </w:rPr>
        <w:t xml:space="preserve"> key </w:t>
      </w:r>
      <w:r w:rsidR="007703F4">
        <w:rPr>
          <w:rFonts w:asciiTheme="minorHAnsi" w:hAnsiTheme="minorHAnsi" w:cstheme="minorHAnsi"/>
          <w:lang w:val="en-US"/>
        </w:rPr>
        <w:t xml:space="preserve">objectives related to </w:t>
      </w:r>
      <w:r w:rsidR="00DE417A" w:rsidRPr="00DE417A">
        <w:rPr>
          <w:rFonts w:asciiTheme="minorHAnsi" w:hAnsiTheme="minorHAnsi" w:cstheme="minorHAnsi"/>
          <w:lang w:val="en-US"/>
        </w:rPr>
        <w:t>the Green Deal and Farm to Fork strateg</w:t>
      </w:r>
      <w:r w:rsidR="007703F4">
        <w:rPr>
          <w:rFonts w:asciiTheme="minorHAnsi" w:hAnsiTheme="minorHAnsi" w:cstheme="minorHAnsi"/>
          <w:lang w:val="en-US"/>
        </w:rPr>
        <w:t>ies</w:t>
      </w:r>
      <w:r w:rsidR="001C0C19">
        <w:rPr>
          <w:rFonts w:asciiTheme="minorHAnsi" w:hAnsiTheme="minorHAnsi" w:cstheme="minorHAnsi"/>
          <w:lang w:val="en-US"/>
        </w:rPr>
        <w:t xml:space="preserve"> </w:t>
      </w:r>
      <w:r w:rsidR="001E543A">
        <w:rPr>
          <w:rFonts w:asciiTheme="minorHAnsi" w:hAnsiTheme="minorHAnsi" w:cstheme="minorHAnsi"/>
          <w:lang w:val="en-US"/>
        </w:rPr>
        <w:t xml:space="preserve">for </w:t>
      </w:r>
      <w:r w:rsidR="001C0C19">
        <w:rPr>
          <w:rFonts w:asciiTheme="minorHAnsi" w:hAnsiTheme="minorHAnsi" w:cstheme="minorHAnsi"/>
          <w:lang w:val="en-US"/>
        </w:rPr>
        <w:t>optimisation of research use</w:t>
      </w:r>
      <w:r w:rsidRPr="00946811">
        <w:rPr>
          <w:rFonts w:asciiTheme="minorHAnsi" w:hAnsiTheme="minorHAnsi" w:cstheme="minorHAnsi"/>
          <w:lang w:val="en-US"/>
        </w:rPr>
        <w:t xml:space="preserve">. However, discussions with the community highlighted a prevailing concern regarding the limited utility of </w:t>
      </w:r>
      <w:r w:rsidRPr="00946811">
        <w:rPr>
          <w:rFonts w:asciiTheme="minorHAnsi" w:hAnsiTheme="minorHAnsi" w:cstheme="minorHAnsi"/>
          <w:i/>
          <w:lang w:val="en-US"/>
        </w:rPr>
        <w:t>in vitro</w:t>
      </w:r>
      <w:r w:rsidRPr="00946811">
        <w:rPr>
          <w:rFonts w:asciiTheme="minorHAnsi" w:hAnsiTheme="minorHAnsi" w:cstheme="minorHAnsi"/>
          <w:lang w:val="en-US"/>
        </w:rPr>
        <w:t xml:space="preserve"> systems—particularly their capacity to replace </w:t>
      </w:r>
      <w:r w:rsidRPr="00946811">
        <w:rPr>
          <w:rFonts w:asciiTheme="minorHAnsi" w:hAnsiTheme="minorHAnsi" w:cstheme="minorHAnsi"/>
          <w:i/>
          <w:lang w:val="en-US"/>
        </w:rPr>
        <w:t>in vivo</w:t>
      </w:r>
      <w:r w:rsidRPr="00946811">
        <w:rPr>
          <w:rFonts w:asciiTheme="minorHAnsi" w:hAnsiTheme="minorHAnsi" w:cstheme="minorHAnsi"/>
          <w:lang w:val="en-US"/>
        </w:rPr>
        <w:t xml:space="preserve"> experiments and to reliably translate findings. Below, we outline the major challenges and </w:t>
      </w:r>
      <w:r w:rsidR="001354E9">
        <w:rPr>
          <w:rFonts w:asciiTheme="minorHAnsi" w:hAnsiTheme="minorHAnsi" w:cstheme="minorHAnsi"/>
          <w:lang w:val="en-US"/>
        </w:rPr>
        <w:t xml:space="preserve">present an inventory of </w:t>
      </w:r>
      <w:r w:rsidRPr="00946811">
        <w:rPr>
          <w:rFonts w:asciiTheme="minorHAnsi" w:hAnsiTheme="minorHAnsi" w:cstheme="minorHAnsi"/>
          <w:lang w:val="en-US"/>
        </w:rPr>
        <w:t>proposed solutions</w:t>
      </w:r>
      <w:r w:rsidR="001354E9">
        <w:rPr>
          <w:rFonts w:asciiTheme="minorHAnsi" w:hAnsiTheme="minorHAnsi" w:cstheme="minorHAnsi"/>
          <w:lang w:val="en-US"/>
        </w:rPr>
        <w:t xml:space="preserve"> to bridge the gap </w:t>
      </w:r>
      <w:r w:rsidR="00F95037">
        <w:rPr>
          <w:rFonts w:asciiTheme="minorHAnsi" w:hAnsiTheme="minorHAnsi" w:cstheme="minorHAnsi"/>
          <w:lang w:val="en-US"/>
        </w:rPr>
        <w:t xml:space="preserve">between G2P research conducted </w:t>
      </w:r>
      <w:r w:rsidR="00A12EEB">
        <w:rPr>
          <w:rFonts w:asciiTheme="minorHAnsi" w:hAnsiTheme="minorHAnsi" w:cstheme="minorHAnsi"/>
          <w:lang w:val="en-US"/>
        </w:rPr>
        <w:t xml:space="preserve">on the cellular level </w:t>
      </w:r>
      <w:r w:rsidR="00F95037" w:rsidRPr="00D87785">
        <w:rPr>
          <w:rFonts w:asciiTheme="minorHAnsi" w:hAnsiTheme="minorHAnsi" w:cstheme="minorHAnsi"/>
          <w:i/>
          <w:lang w:val="en-US"/>
        </w:rPr>
        <w:t>in vitro</w:t>
      </w:r>
      <w:r w:rsidR="00F95037">
        <w:rPr>
          <w:rFonts w:asciiTheme="minorHAnsi" w:hAnsiTheme="minorHAnsi" w:cstheme="minorHAnsi"/>
          <w:lang w:val="en-US"/>
        </w:rPr>
        <w:t xml:space="preserve"> and</w:t>
      </w:r>
      <w:r w:rsidR="00A12EEB">
        <w:rPr>
          <w:rFonts w:asciiTheme="minorHAnsi" w:hAnsiTheme="minorHAnsi" w:cstheme="minorHAnsi"/>
          <w:lang w:val="en-US"/>
        </w:rPr>
        <w:t xml:space="preserve"> organismal level</w:t>
      </w:r>
      <w:r w:rsidR="00F95037">
        <w:rPr>
          <w:rFonts w:asciiTheme="minorHAnsi" w:hAnsiTheme="minorHAnsi" w:cstheme="minorHAnsi"/>
          <w:lang w:val="en-US"/>
        </w:rPr>
        <w:t xml:space="preserve"> </w:t>
      </w:r>
      <w:r w:rsidR="00F95037" w:rsidRPr="00D87785">
        <w:rPr>
          <w:rFonts w:asciiTheme="minorHAnsi" w:hAnsiTheme="minorHAnsi" w:cstheme="minorHAnsi"/>
          <w:i/>
          <w:lang w:val="en-US"/>
        </w:rPr>
        <w:t>in vivo</w:t>
      </w:r>
      <w:r w:rsidRPr="00946811">
        <w:rPr>
          <w:rFonts w:asciiTheme="minorHAnsi" w:hAnsiTheme="minorHAnsi" w:cstheme="minorHAnsi"/>
          <w:lang w:val="en-US"/>
        </w:rPr>
        <w:t>.</w:t>
      </w:r>
      <w:r w:rsidR="00DD54D7">
        <w:rPr>
          <w:rFonts w:asciiTheme="minorHAnsi" w:hAnsiTheme="minorHAnsi" w:cstheme="minorHAnsi"/>
          <w:lang w:val="en-US"/>
        </w:rPr>
        <w:t xml:space="preserve"> While not exhaustive, this inventory aims to highlight key approaches and outline important next steps.</w:t>
      </w:r>
    </w:p>
    <w:p w14:paraId="7B44BE14" w14:textId="77777777" w:rsidR="00946811" w:rsidRPr="00946811" w:rsidRDefault="00946811" w:rsidP="00946811">
      <w:pPr>
        <w:jc w:val="both"/>
        <w:rPr>
          <w:rFonts w:asciiTheme="minorHAnsi" w:hAnsiTheme="minorHAnsi" w:cstheme="minorHAnsi"/>
          <w:lang w:val="en-US"/>
        </w:rPr>
      </w:pPr>
    </w:p>
    <w:p w14:paraId="173CF4C3" w14:textId="5AAC8B6B" w:rsidR="00946811" w:rsidRDefault="00946811" w:rsidP="00946811">
      <w:pPr>
        <w:jc w:val="both"/>
        <w:rPr>
          <w:rFonts w:asciiTheme="minorHAnsi" w:hAnsiTheme="minorHAnsi" w:cstheme="minorHAnsi"/>
          <w:lang w:val="en-US"/>
        </w:rPr>
      </w:pPr>
      <w:r w:rsidRPr="00946811">
        <w:rPr>
          <w:rFonts w:asciiTheme="minorHAnsi" w:hAnsiTheme="minorHAnsi" w:cstheme="minorHAnsi"/>
          <w:lang w:val="en-US"/>
        </w:rPr>
        <w:t xml:space="preserve">A fundamental challenge lies in the biological and technical limitations of existing cell models. Addressing these limitations requires targeted efforts. Progress may begin with the </w:t>
      </w:r>
      <w:r w:rsidRPr="00D87785">
        <w:rPr>
          <w:rFonts w:asciiTheme="minorHAnsi" w:hAnsiTheme="minorHAnsi" w:cstheme="minorHAnsi"/>
          <w:b/>
          <w:lang w:val="en-US"/>
        </w:rPr>
        <w:t xml:space="preserve">optimization of models </w:t>
      </w:r>
      <w:r w:rsidR="00255FB5" w:rsidRPr="00D87785">
        <w:rPr>
          <w:rFonts w:asciiTheme="minorHAnsi" w:hAnsiTheme="minorHAnsi" w:cstheme="minorHAnsi"/>
          <w:b/>
          <w:lang w:val="en-US"/>
        </w:rPr>
        <w:t>of limited complexity</w:t>
      </w:r>
      <w:r w:rsidR="00255FB5">
        <w:rPr>
          <w:rFonts w:asciiTheme="minorHAnsi" w:hAnsiTheme="minorHAnsi" w:cstheme="minorHAnsi"/>
          <w:lang w:val="en-US"/>
        </w:rPr>
        <w:t xml:space="preserve"> </w:t>
      </w:r>
      <w:r w:rsidRPr="00946811">
        <w:rPr>
          <w:rFonts w:asciiTheme="minorHAnsi" w:hAnsiTheme="minorHAnsi" w:cstheme="minorHAnsi"/>
          <w:lang w:val="en-US"/>
        </w:rPr>
        <w:t xml:space="preserve">that </w:t>
      </w:r>
      <w:r w:rsidR="00007E0D">
        <w:rPr>
          <w:rFonts w:asciiTheme="minorHAnsi" w:hAnsiTheme="minorHAnsi" w:cstheme="minorHAnsi"/>
          <w:lang w:val="en-US"/>
        </w:rPr>
        <w:t>retain their practical utility</w:t>
      </w:r>
      <w:r w:rsidRPr="00946811">
        <w:rPr>
          <w:rFonts w:asciiTheme="minorHAnsi" w:hAnsiTheme="minorHAnsi" w:cstheme="minorHAnsi"/>
          <w:lang w:val="en-US"/>
        </w:rPr>
        <w:t xml:space="preserve">. Improved characterization of existing cell lines is </w:t>
      </w:r>
      <w:r w:rsidR="001B29B9">
        <w:rPr>
          <w:rFonts w:asciiTheme="minorHAnsi" w:hAnsiTheme="minorHAnsi" w:cstheme="minorHAnsi"/>
          <w:lang w:val="en-US"/>
        </w:rPr>
        <w:t xml:space="preserve">still relevant,  </w:t>
      </w:r>
      <w:r w:rsidRPr="00946811">
        <w:rPr>
          <w:rFonts w:asciiTheme="minorHAnsi" w:hAnsiTheme="minorHAnsi" w:cstheme="minorHAnsi"/>
          <w:lang w:val="en-US"/>
        </w:rPr>
        <w:t>along with the development of new lines—especially for species with limited availability. A key requirement in this context is the establishment of reliable cell-type markers to confirm identity. Additionally, enhancing culture conditions is necessary to preserve cell phenotype. (Epi)genetic instability remains a significant concern and must be carefully monitored.</w:t>
      </w:r>
    </w:p>
    <w:p w14:paraId="18869B1C" w14:textId="77777777" w:rsidR="00946811" w:rsidRPr="00946811" w:rsidRDefault="00946811" w:rsidP="00946811">
      <w:pPr>
        <w:jc w:val="both"/>
        <w:rPr>
          <w:rFonts w:asciiTheme="minorHAnsi" w:hAnsiTheme="minorHAnsi" w:cstheme="minorHAnsi"/>
          <w:lang w:val="en-US"/>
        </w:rPr>
      </w:pPr>
    </w:p>
    <w:p w14:paraId="7EF93279" w14:textId="0AD98BCC" w:rsidR="00946811" w:rsidRPr="00946811" w:rsidRDefault="00946811" w:rsidP="00946811">
      <w:pPr>
        <w:jc w:val="both"/>
        <w:rPr>
          <w:rFonts w:asciiTheme="minorHAnsi" w:hAnsiTheme="minorHAnsi" w:cstheme="minorHAnsi"/>
          <w:lang w:val="en-US"/>
        </w:rPr>
      </w:pPr>
      <w:r w:rsidRPr="00946811">
        <w:rPr>
          <w:rFonts w:asciiTheme="minorHAnsi" w:hAnsiTheme="minorHAnsi" w:cstheme="minorHAnsi"/>
          <w:lang w:val="en-US"/>
        </w:rPr>
        <w:t xml:space="preserve">Although </w:t>
      </w:r>
      <w:r w:rsidR="009E4F32">
        <w:rPr>
          <w:rFonts w:asciiTheme="minorHAnsi" w:hAnsiTheme="minorHAnsi" w:cstheme="minorHAnsi"/>
          <w:lang w:val="en-US"/>
        </w:rPr>
        <w:t xml:space="preserve">more </w:t>
      </w:r>
      <w:r w:rsidRPr="00D87785">
        <w:rPr>
          <w:rFonts w:asciiTheme="minorHAnsi" w:hAnsiTheme="minorHAnsi" w:cstheme="minorHAnsi"/>
          <w:b/>
          <w:lang w:val="en-US"/>
        </w:rPr>
        <w:t>advanced cellular models are emerging, their adoption</w:t>
      </w:r>
      <w:r w:rsidR="001B29B9">
        <w:rPr>
          <w:rFonts w:asciiTheme="minorHAnsi" w:hAnsiTheme="minorHAnsi" w:cstheme="minorHAnsi"/>
          <w:b/>
          <w:lang w:val="en-US"/>
        </w:rPr>
        <w:t xml:space="preserve"> across </w:t>
      </w:r>
      <w:r w:rsidR="00804FE1">
        <w:rPr>
          <w:rFonts w:asciiTheme="minorHAnsi" w:hAnsiTheme="minorHAnsi" w:cstheme="minorHAnsi"/>
          <w:b/>
          <w:lang w:val="en-US"/>
        </w:rPr>
        <w:t xml:space="preserve">all </w:t>
      </w:r>
      <w:r w:rsidR="001B29B9">
        <w:rPr>
          <w:rFonts w:asciiTheme="minorHAnsi" w:hAnsiTheme="minorHAnsi" w:cstheme="minorHAnsi"/>
          <w:b/>
          <w:lang w:val="en-US"/>
        </w:rPr>
        <w:t>farmed species</w:t>
      </w:r>
      <w:r w:rsidRPr="00D87785">
        <w:rPr>
          <w:rFonts w:asciiTheme="minorHAnsi" w:hAnsiTheme="minorHAnsi" w:cstheme="minorHAnsi"/>
          <w:b/>
          <w:lang w:val="en-US"/>
        </w:rPr>
        <w:t xml:space="preserve"> is </w:t>
      </w:r>
      <w:r w:rsidR="00DE417A" w:rsidRPr="00D87785">
        <w:rPr>
          <w:rFonts w:asciiTheme="minorHAnsi" w:hAnsiTheme="minorHAnsi" w:cstheme="minorHAnsi"/>
          <w:b/>
          <w:lang w:val="en-US"/>
        </w:rPr>
        <w:t>still in its infancy</w:t>
      </w:r>
      <w:r w:rsidR="001B19F7" w:rsidRPr="00D87785">
        <w:rPr>
          <w:rFonts w:asciiTheme="minorHAnsi" w:hAnsiTheme="minorHAnsi" w:cstheme="minorHAnsi"/>
          <w:b/>
          <w:lang w:val="en-US"/>
        </w:rPr>
        <w:t xml:space="preserve"> and must be systematically developed</w:t>
      </w:r>
      <w:r w:rsidRPr="00946811">
        <w:rPr>
          <w:rFonts w:asciiTheme="minorHAnsi" w:hAnsiTheme="minorHAnsi" w:cstheme="minorHAnsi"/>
          <w:lang w:val="en-US"/>
        </w:rPr>
        <w:t xml:space="preserve">. Where applicable, protocols from well-established model species should be transferred, and </w:t>
      </w:r>
      <w:r w:rsidR="001B29B9">
        <w:rPr>
          <w:rFonts w:asciiTheme="minorHAnsi" w:hAnsiTheme="minorHAnsi" w:cstheme="minorHAnsi"/>
          <w:lang w:val="en-US"/>
        </w:rPr>
        <w:t xml:space="preserve">undertaking common </w:t>
      </w:r>
      <w:r w:rsidRPr="00946811">
        <w:rPr>
          <w:rFonts w:asciiTheme="minorHAnsi" w:hAnsiTheme="minorHAnsi" w:cstheme="minorHAnsi"/>
          <w:lang w:val="en-US"/>
        </w:rPr>
        <w:t xml:space="preserve">efforts toward standardization </w:t>
      </w:r>
      <w:r w:rsidR="001B29B9">
        <w:rPr>
          <w:rFonts w:asciiTheme="minorHAnsi" w:hAnsiTheme="minorHAnsi" w:cstheme="minorHAnsi"/>
          <w:lang w:val="en-US"/>
        </w:rPr>
        <w:t>is</w:t>
      </w:r>
      <w:r w:rsidRPr="00946811">
        <w:rPr>
          <w:rFonts w:asciiTheme="minorHAnsi" w:hAnsiTheme="minorHAnsi" w:cstheme="minorHAnsi"/>
          <w:lang w:val="en-US"/>
        </w:rPr>
        <w:t xml:space="preserve"> critical</w:t>
      </w:r>
      <w:r w:rsidR="00152765">
        <w:rPr>
          <w:rFonts w:asciiTheme="minorHAnsi" w:hAnsiTheme="minorHAnsi" w:cstheme="minorHAnsi"/>
          <w:lang w:val="en-US"/>
        </w:rPr>
        <w:t xml:space="preserve"> to promote their broader use</w:t>
      </w:r>
      <w:r w:rsidRPr="00946811">
        <w:rPr>
          <w:rFonts w:asciiTheme="minorHAnsi" w:hAnsiTheme="minorHAnsi" w:cstheme="minorHAnsi"/>
          <w:lang w:val="en-US"/>
        </w:rPr>
        <w:t>. These developments require coordination, and the EuroFAANG RI is uniquely positioned to provide leadership in this area. Platforms established in WP4 and WP5 can serve as hubs for building the necessary networks and research infrastructures.</w:t>
      </w:r>
    </w:p>
    <w:p w14:paraId="391239BA" w14:textId="77777777" w:rsidR="00FA1F67" w:rsidRDefault="00FA1F67" w:rsidP="00946811">
      <w:pPr>
        <w:jc w:val="both"/>
        <w:rPr>
          <w:rFonts w:asciiTheme="minorHAnsi" w:hAnsiTheme="minorHAnsi" w:cstheme="minorHAnsi"/>
          <w:lang w:val="en-US"/>
        </w:rPr>
      </w:pPr>
    </w:p>
    <w:p w14:paraId="0B3D7276" w14:textId="49559D73" w:rsidR="00946811" w:rsidRDefault="00946811" w:rsidP="00946811">
      <w:pPr>
        <w:jc w:val="both"/>
        <w:rPr>
          <w:rFonts w:asciiTheme="minorHAnsi" w:hAnsiTheme="minorHAnsi" w:cstheme="minorHAnsi"/>
          <w:lang w:val="en-US"/>
        </w:rPr>
      </w:pPr>
      <w:r w:rsidRPr="00946811">
        <w:rPr>
          <w:rFonts w:asciiTheme="minorHAnsi" w:hAnsiTheme="minorHAnsi" w:cstheme="minorHAnsi"/>
          <w:lang w:val="en-US"/>
        </w:rPr>
        <w:t>Both simple and advanced model</w:t>
      </w:r>
      <w:r w:rsidR="006A5385">
        <w:rPr>
          <w:rFonts w:asciiTheme="minorHAnsi" w:hAnsiTheme="minorHAnsi" w:cstheme="minorHAnsi"/>
          <w:lang w:val="en-US"/>
        </w:rPr>
        <w:t>s</w:t>
      </w:r>
      <w:r w:rsidRPr="00946811">
        <w:rPr>
          <w:rFonts w:asciiTheme="minorHAnsi" w:hAnsiTheme="minorHAnsi" w:cstheme="minorHAnsi"/>
          <w:lang w:val="en-US"/>
        </w:rPr>
        <w:t xml:space="preserve"> benefit from a </w:t>
      </w:r>
      <w:r w:rsidRPr="00D87785">
        <w:rPr>
          <w:rFonts w:asciiTheme="minorHAnsi" w:hAnsiTheme="minorHAnsi" w:cstheme="minorHAnsi"/>
          <w:b/>
          <w:lang w:val="en-US"/>
        </w:rPr>
        <w:t xml:space="preserve">deeper understanding of the </w:t>
      </w:r>
      <w:r w:rsidRPr="00D87785">
        <w:rPr>
          <w:rFonts w:asciiTheme="minorHAnsi" w:hAnsiTheme="minorHAnsi" w:cstheme="minorHAnsi"/>
          <w:b/>
          <w:i/>
          <w:lang w:val="en-US"/>
        </w:rPr>
        <w:t>in vivo</w:t>
      </w:r>
      <w:r w:rsidRPr="00D87785">
        <w:rPr>
          <w:rFonts w:asciiTheme="minorHAnsi" w:hAnsiTheme="minorHAnsi" w:cstheme="minorHAnsi"/>
          <w:b/>
          <w:lang w:val="en-US"/>
        </w:rPr>
        <w:t xml:space="preserve"> biology</w:t>
      </w:r>
      <w:r w:rsidRPr="00946811">
        <w:rPr>
          <w:rFonts w:asciiTheme="minorHAnsi" w:hAnsiTheme="minorHAnsi" w:cstheme="minorHAnsi"/>
          <w:lang w:val="en-US"/>
        </w:rPr>
        <w:t xml:space="preserve"> they a</w:t>
      </w:r>
      <w:r w:rsidR="006A5385">
        <w:rPr>
          <w:rFonts w:asciiTheme="minorHAnsi" w:hAnsiTheme="minorHAnsi" w:cstheme="minorHAnsi"/>
          <w:lang w:val="en-US"/>
        </w:rPr>
        <w:t>im</w:t>
      </w:r>
      <w:r w:rsidRPr="00946811">
        <w:rPr>
          <w:rFonts w:asciiTheme="minorHAnsi" w:hAnsiTheme="minorHAnsi" w:cstheme="minorHAnsi"/>
          <w:lang w:val="en-US"/>
        </w:rPr>
        <w:t xml:space="preserve"> to replicate. </w:t>
      </w:r>
      <w:r w:rsidR="006A5385">
        <w:rPr>
          <w:rFonts w:asciiTheme="minorHAnsi" w:hAnsiTheme="minorHAnsi" w:cstheme="minorHAnsi"/>
          <w:lang w:val="en-US"/>
        </w:rPr>
        <w:t xml:space="preserve">This would help to deconvolute complex phenotypes measured at the whole-animal level into key processes at the organ or cellular level. </w:t>
      </w:r>
      <w:r w:rsidRPr="00946811">
        <w:rPr>
          <w:rFonts w:asciiTheme="minorHAnsi" w:hAnsiTheme="minorHAnsi" w:cstheme="minorHAnsi"/>
          <w:lang w:val="en-US"/>
        </w:rPr>
        <w:t xml:space="preserve">The development of resources such as cell atlases is essential for gaining insights into tissue organization. While advanced models offer improved cellular contexts, a comprehensive understanding of cell–cell communication is </w:t>
      </w:r>
      <w:r w:rsidR="001B29B9">
        <w:rPr>
          <w:rFonts w:asciiTheme="minorHAnsi" w:hAnsiTheme="minorHAnsi" w:cstheme="minorHAnsi"/>
          <w:lang w:val="en-US"/>
        </w:rPr>
        <w:t xml:space="preserve">first </w:t>
      </w:r>
      <w:r w:rsidRPr="00946811">
        <w:rPr>
          <w:rFonts w:asciiTheme="minorHAnsi" w:hAnsiTheme="minorHAnsi" w:cstheme="minorHAnsi"/>
          <w:lang w:val="en-US"/>
        </w:rPr>
        <w:t>required to approach systemic fidelity. The rapidly expanding portfolio of single-cell omics applications presents new opportunities</w:t>
      </w:r>
      <w:r>
        <w:rPr>
          <w:rFonts w:asciiTheme="minorHAnsi" w:hAnsiTheme="minorHAnsi" w:cstheme="minorHAnsi"/>
          <w:lang w:val="en-US"/>
        </w:rPr>
        <w:t xml:space="preserve"> to </w:t>
      </w:r>
      <w:r w:rsidR="00A80D61">
        <w:rPr>
          <w:rFonts w:asciiTheme="minorHAnsi" w:hAnsiTheme="minorHAnsi" w:cstheme="minorHAnsi"/>
          <w:lang w:val="en-US"/>
        </w:rPr>
        <w:t>resolve cellular composition and functional states at unprecedented resolution</w:t>
      </w:r>
      <w:r w:rsidRPr="00946811">
        <w:rPr>
          <w:rFonts w:asciiTheme="minorHAnsi" w:hAnsiTheme="minorHAnsi" w:cstheme="minorHAnsi"/>
          <w:lang w:val="en-US"/>
        </w:rPr>
        <w:t>; however, their use in farm animal G2P research remains limited. To address this, FBN is organizing a two-day workshop, “The Multiverse of Workflows in Single-Cell Analysis”, focused on single-cell analysis</w:t>
      </w:r>
      <w:r w:rsidR="003A4B4D">
        <w:rPr>
          <w:rFonts w:asciiTheme="minorHAnsi" w:hAnsiTheme="minorHAnsi" w:cstheme="minorHAnsi"/>
          <w:lang w:val="en-US"/>
        </w:rPr>
        <w:t>,</w:t>
      </w:r>
      <w:r w:rsidRPr="00946811">
        <w:rPr>
          <w:rFonts w:asciiTheme="minorHAnsi" w:hAnsiTheme="minorHAnsi" w:cstheme="minorHAnsi"/>
          <w:lang w:val="en-US"/>
        </w:rPr>
        <w:t xml:space="preserve"> in June</w:t>
      </w:r>
      <w:r w:rsidR="00704EA6">
        <w:rPr>
          <w:rFonts w:asciiTheme="minorHAnsi" w:hAnsiTheme="minorHAnsi" w:cstheme="minorHAnsi"/>
          <w:lang w:val="en-US"/>
        </w:rPr>
        <w:t xml:space="preserve"> 2025</w:t>
      </w:r>
      <w:r w:rsidRPr="00946811">
        <w:rPr>
          <w:rFonts w:asciiTheme="minorHAnsi" w:hAnsiTheme="minorHAnsi" w:cstheme="minorHAnsi"/>
          <w:lang w:val="en-US"/>
        </w:rPr>
        <w:t xml:space="preserve">. This initiative aims to support </w:t>
      </w:r>
      <w:r w:rsidRPr="00D87785">
        <w:rPr>
          <w:rFonts w:asciiTheme="minorHAnsi" w:hAnsiTheme="minorHAnsi" w:cstheme="minorHAnsi"/>
          <w:b/>
          <w:lang w:val="en-US"/>
        </w:rPr>
        <w:t>broader adoption of single-cell omics within the community</w:t>
      </w:r>
      <w:r w:rsidRPr="00946811">
        <w:rPr>
          <w:rFonts w:asciiTheme="minorHAnsi" w:hAnsiTheme="minorHAnsi" w:cstheme="minorHAnsi"/>
          <w:lang w:val="en-US"/>
        </w:rPr>
        <w:t>, and such efforts should be further pursued and expanded by EuroFAANG RI.</w:t>
      </w:r>
    </w:p>
    <w:p w14:paraId="4F5CBCD5" w14:textId="77777777" w:rsidR="00946811" w:rsidRPr="00946811" w:rsidRDefault="00946811" w:rsidP="00946811">
      <w:pPr>
        <w:jc w:val="both"/>
        <w:rPr>
          <w:rFonts w:asciiTheme="minorHAnsi" w:hAnsiTheme="minorHAnsi" w:cstheme="minorHAnsi"/>
          <w:lang w:val="en-US"/>
        </w:rPr>
      </w:pPr>
    </w:p>
    <w:p w14:paraId="33C5186A" w14:textId="7F22DB4B" w:rsidR="00946811" w:rsidRDefault="00946811" w:rsidP="00152765">
      <w:pPr>
        <w:jc w:val="both"/>
        <w:rPr>
          <w:rFonts w:asciiTheme="minorHAnsi" w:hAnsiTheme="minorHAnsi" w:cstheme="minorHAnsi"/>
          <w:lang w:val="en-US"/>
        </w:rPr>
      </w:pPr>
      <w:r w:rsidRPr="00946811">
        <w:rPr>
          <w:rFonts w:asciiTheme="minorHAnsi" w:hAnsiTheme="minorHAnsi" w:cstheme="minorHAnsi"/>
          <w:lang w:val="en-US"/>
        </w:rPr>
        <w:t xml:space="preserve">Efforts to bridge the </w:t>
      </w:r>
      <w:r w:rsidRPr="00FA1F67">
        <w:rPr>
          <w:rFonts w:asciiTheme="minorHAnsi" w:hAnsiTheme="minorHAnsi" w:cstheme="minorHAnsi"/>
          <w:i/>
          <w:lang w:val="en-US"/>
        </w:rPr>
        <w:t>in vitro</w:t>
      </w:r>
      <w:r w:rsidRPr="00946811">
        <w:rPr>
          <w:rFonts w:asciiTheme="minorHAnsi" w:hAnsiTheme="minorHAnsi" w:cstheme="minorHAnsi"/>
          <w:lang w:val="en-US"/>
        </w:rPr>
        <w:t>–</w:t>
      </w:r>
      <w:r w:rsidRPr="00FA1F67">
        <w:rPr>
          <w:rFonts w:asciiTheme="minorHAnsi" w:hAnsiTheme="minorHAnsi" w:cstheme="minorHAnsi"/>
          <w:i/>
          <w:lang w:val="en-US"/>
        </w:rPr>
        <w:t>in vivo</w:t>
      </w:r>
      <w:r w:rsidRPr="00946811">
        <w:rPr>
          <w:rFonts w:asciiTheme="minorHAnsi" w:hAnsiTheme="minorHAnsi" w:cstheme="minorHAnsi"/>
          <w:lang w:val="en-US"/>
        </w:rPr>
        <w:t xml:space="preserve"> gap are ongoing but remain fragmented and small in scale. </w:t>
      </w:r>
      <w:r w:rsidRPr="00D87785">
        <w:rPr>
          <w:rFonts w:asciiTheme="minorHAnsi" w:hAnsiTheme="minorHAnsi" w:cstheme="minorHAnsi"/>
          <w:b/>
          <w:lang w:val="en-US"/>
        </w:rPr>
        <w:t xml:space="preserve">Foundational experiments that conduct parallel </w:t>
      </w:r>
      <w:r w:rsidRPr="00D87785">
        <w:rPr>
          <w:rFonts w:asciiTheme="minorHAnsi" w:hAnsiTheme="minorHAnsi" w:cstheme="minorHAnsi"/>
          <w:b/>
          <w:i/>
          <w:lang w:val="en-US"/>
        </w:rPr>
        <w:t>in vitro</w:t>
      </w:r>
      <w:r w:rsidRPr="00D87785">
        <w:rPr>
          <w:rFonts w:asciiTheme="minorHAnsi" w:hAnsiTheme="minorHAnsi" w:cstheme="minorHAnsi"/>
          <w:b/>
          <w:lang w:val="en-US"/>
        </w:rPr>
        <w:t xml:space="preserve"> and </w:t>
      </w:r>
      <w:r w:rsidRPr="00D87785">
        <w:rPr>
          <w:rFonts w:asciiTheme="minorHAnsi" w:hAnsiTheme="minorHAnsi" w:cstheme="minorHAnsi"/>
          <w:b/>
          <w:i/>
          <w:lang w:val="en-US"/>
        </w:rPr>
        <w:t>in vivo</w:t>
      </w:r>
      <w:r w:rsidRPr="00D87785">
        <w:rPr>
          <w:rFonts w:asciiTheme="minorHAnsi" w:hAnsiTheme="minorHAnsi" w:cstheme="minorHAnsi"/>
          <w:b/>
          <w:lang w:val="en-US"/>
        </w:rPr>
        <w:t xml:space="preserve"> studies are needed</w:t>
      </w:r>
      <w:r w:rsidRPr="00946811">
        <w:rPr>
          <w:rFonts w:asciiTheme="minorHAnsi" w:hAnsiTheme="minorHAnsi" w:cstheme="minorHAnsi"/>
          <w:lang w:val="en-US"/>
        </w:rPr>
        <w:t xml:space="preserve">—ideally using commercial genetic lines to enable broader extrapolation and application in breeding contexts. This will require the establishment of biobanked, deeply phenotyped populations. Such </w:t>
      </w:r>
      <w:r w:rsidRPr="00946811">
        <w:rPr>
          <w:rFonts w:asciiTheme="minorHAnsi" w:hAnsiTheme="minorHAnsi" w:cstheme="minorHAnsi"/>
          <w:lang w:val="en-US"/>
        </w:rPr>
        <w:lastRenderedPageBreak/>
        <w:t xml:space="preserve">studies would help to identify where </w:t>
      </w:r>
      <w:r w:rsidRPr="00FA1F67">
        <w:rPr>
          <w:rFonts w:asciiTheme="minorHAnsi" w:hAnsiTheme="minorHAnsi" w:cstheme="minorHAnsi"/>
          <w:i/>
          <w:lang w:val="en-US"/>
        </w:rPr>
        <w:t>in vitro</w:t>
      </w:r>
      <w:r w:rsidRPr="00946811">
        <w:rPr>
          <w:rFonts w:asciiTheme="minorHAnsi" w:hAnsiTheme="minorHAnsi" w:cstheme="minorHAnsi"/>
          <w:lang w:val="en-US"/>
        </w:rPr>
        <w:t xml:space="preserve"> models fall short, where they already provide predictive value, and how they can be further refined. Moreover, they would generate valuable datasets for training AI-driven predictive models and serve as benchmarks for validating experimental outcomes. Importantly, they would also function as </w:t>
      </w:r>
      <w:r w:rsidRPr="00D87785">
        <w:rPr>
          <w:rFonts w:asciiTheme="minorHAnsi" w:hAnsiTheme="minorHAnsi" w:cstheme="minorHAnsi"/>
          <w:b/>
          <w:lang w:val="en-US"/>
        </w:rPr>
        <w:t>case studies to demonstrate the practical utility of cellular models</w:t>
      </w:r>
      <w:r w:rsidRPr="00946811">
        <w:rPr>
          <w:rFonts w:asciiTheme="minorHAnsi" w:hAnsiTheme="minorHAnsi" w:cstheme="minorHAnsi"/>
          <w:lang w:val="en-US"/>
        </w:rPr>
        <w:t>.</w:t>
      </w:r>
    </w:p>
    <w:p w14:paraId="2B46569A" w14:textId="77777777" w:rsidR="00946811" w:rsidRPr="00946811" w:rsidRDefault="00946811" w:rsidP="00946811">
      <w:pPr>
        <w:jc w:val="both"/>
        <w:rPr>
          <w:rFonts w:asciiTheme="minorHAnsi" w:hAnsiTheme="minorHAnsi" w:cstheme="minorHAnsi"/>
          <w:lang w:val="en-US"/>
        </w:rPr>
      </w:pPr>
    </w:p>
    <w:p w14:paraId="44751F59" w14:textId="74862ECC" w:rsidR="00946811" w:rsidRDefault="00946811" w:rsidP="00946811">
      <w:pPr>
        <w:jc w:val="both"/>
        <w:rPr>
          <w:rFonts w:asciiTheme="minorHAnsi" w:hAnsiTheme="minorHAnsi" w:cstheme="minorHAnsi"/>
          <w:lang w:val="en-US"/>
        </w:rPr>
      </w:pPr>
      <w:r w:rsidRPr="00D87785">
        <w:rPr>
          <w:rFonts w:asciiTheme="minorHAnsi" w:hAnsiTheme="minorHAnsi" w:cstheme="minorHAnsi"/>
          <w:b/>
          <w:lang w:val="en-US"/>
        </w:rPr>
        <w:t xml:space="preserve">The systematic development of assays </w:t>
      </w:r>
      <w:r w:rsidR="00AD6971" w:rsidRPr="00D87785">
        <w:rPr>
          <w:rFonts w:asciiTheme="minorHAnsi" w:hAnsiTheme="minorHAnsi" w:cstheme="minorHAnsi"/>
          <w:b/>
          <w:lang w:val="en-US"/>
        </w:rPr>
        <w:t xml:space="preserve">measuring functional phenotypes beyond molecular endpoints </w:t>
      </w:r>
      <w:r w:rsidRPr="00653827">
        <w:rPr>
          <w:rFonts w:asciiTheme="minorHAnsi" w:hAnsiTheme="minorHAnsi" w:cstheme="minorHAnsi"/>
          <w:lang w:val="en-US"/>
        </w:rPr>
        <w:t>is also critical</w:t>
      </w:r>
      <w:r w:rsidRPr="00946811">
        <w:rPr>
          <w:rFonts w:asciiTheme="minorHAnsi" w:hAnsiTheme="minorHAnsi" w:cstheme="minorHAnsi"/>
          <w:lang w:val="en-US"/>
        </w:rPr>
        <w:t xml:space="preserve"> to advancing G2P research and integrating </w:t>
      </w:r>
      <w:r w:rsidRPr="00FA1F67">
        <w:rPr>
          <w:rFonts w:asciiTheme="minorHAnsi" w:hAnsiTheme="minorHAnsi" w:cstheme="minorHAnsi"/>
          <w:i/>
          <w:lang w:val="en-US"/>
        </w:rPr>
        <w:t>in vitro</w:t>
      </w:r>
      <w:r w:rsidRPr="00946811">
        <w:rPr>
          <w:rFonts w:asciiTheme="minorHAnsi" w:hAnsiTheme="minorHAnsi" w:cstheme="minorHAnsi"/>
          <w:lang w:val="en-US"/>
        </w:rPr>
        <w:t xml:space="preserve"> and </w:t>
      </w:r>
      <w:r w:rsidRPr="00FA1F67">
        <w:rPr>
          <w:rFonts w:asciiTheme="minorHAnsi" w:hAnsiTheme="minorHAnsi" w:cstheme="minorHAnsi"/>
          <w:i/>
          <w:lang w:val="en-US"/>
        </w:rPr>
        <w:t>in vivo</w:t>
      </w:r>
      <w:r w:rsidRPr="00946811">
        <w:rPr>
          <w:rFonts w:asciiTheme="minorHAnsi" w:hAnsiTheme="minorHAnsi" w:cstheme="minorHAnsi"/>
          <w:lang w:val="en-US"/>
        </w:rPr>
        <w:t xml:space="preserve"> approaches. Many relevant assays already exist, and numerous laboratories provide a strong foundation for a coordinated research infrastructure.</w:t>
      </w:r>
      <w:r w:rsidR="0024798F">
        <w:rPr>
          <w:rFonts w:asciiTheme="minorHAnsi" w:hAnsiTheme="minorHAnsi" w:cstheme="minorHAnsi"/>
          <w:lang w:val="en-US"/>
        </w:rPr>
        <w:t xml:space="preserve"> </w:t>
      </w:r>
    </w:p>
    <w:p w14:paraId="51C78CE1" w14:textId="77777777" w:rsidR="009E4F32" w:rsidRPr="00946811" w:rsidRDefault="009E4F32" w:rsidP="00946811">
      <w:pPr>
        <w:jc w:val="both"/>
        <w:rPr>
          <w:rFonts w:asciiTheme="minorHAnsi" w:hAnsiTheme="minorHAnsi" w:cstheme="minorHAnsi"/>
          <w:lang w:val="en-US"/>
        </w:rPr>
      </w:pPr>
    </w:p>
    <w:p w14:paraId="5C406528" w14:textId="5ABE4922" w:rsidR="00082930" w:rsidRDefault="00946811" w:rsidP="00946811">
      <w:pPr>
        <w:jc w:val="both"/>
        <w:rPr>
          <w:rFonts w:asciiTheme="minorHAnsi" w:hAnsiTheme="minorHAnsi" w:cstheme="minorHAnsi"/>
          <w:lang w:val="en-US"/>
        </w:rPr>
      </w:pPr>
      <w:r w:rsidRPr="00946811">
        <w:rPr>
          <w:rFonts w:asciiTheme="minorHAnsi" w:hAnsiTheme="minorHAnsi" w:cstheme="minorHAnsi"/>
          <w:lang w:val="en-US"/>
        </w:rPr>
        <w:t xml:space="preserve">All of these efforts should ultimately support the </w:t>
      </w:r>
      <w:r w:rsidRPr="00D87785">
        <w:rPr>
          <w:rFonts w:asciiTheme="minorHAnsi" w:hAnsiTheme="minorHAnsi" w:cstheme="minorHAnsi"/>
          <w:b/>
          <w:lang w:val="en-US"/>
        </w:rPr>
        <w:t xml:space="preserve">development of accessible </w:t>
      </w:r>
      <w:r w:rsidR="009E4F32" w:rsidRPr="00D87785">
        <w:rPr>
          <w:rFonts w:asciiTheme="minorHAnsi" w:hAnsiTheme="minorHAnsi" w:cstheme="minorHAnsi"/>
          <w:b/>
          <w:lang w:val="en-US"/>
        </w:rPr>
        <w:t>and standardi</w:t>
      </w:r>
      <w:r w:rsidR="001B19F7">
        <w:rPr>
          <w:rFonts w:asciiTheme="minorHAnsi" w:hAnsiTheme="minorHAnsi" w:cstheme="minorHAnsi"/>
          <w:b/>
          <w:lang w:val="en-US"/>
        </w:rPr>
        <w:t>z</w:t>
      </w:r>
      <w:r w:rsidR="009E4F32" w:rsidRPr="00D87785">
        <w:rPr>
          <w:rFonts w:asciiTheme="minorHAnsi" w:hAnsiTheme="minorHAnsi" w:cstheme="minorHAnsi"/>
          <w:b/>
          <w:lang w:val="en-US"/>
        </w:rPr>
        <w:t xml:space="preserve">ed metadata, </w:t>
      </w:r>
      <w:r w:rsidRPr="00D87785">
        <w:rPr>
          <w:rFonts w:asciiTheme="minorHAnsi" w:hAnsiTheme="minorHAnsi" w:cstheme="minorHAnsi"/>
          <w:b/>
          <w:lang w:val="en-US"/>
        </w:rPr>
        <w:t>data resources and databases</w:t>
      </w:r>
      <w:r w:rsidRPr="00946811">
        <w:rPr>
          <w:rFonts w:asciiTheme="minorHAnsi" w:hAnsiTheme="minorHAnsi" w:cstheme="minorHAnsi"/>
          <w:lang w:val="en-US"/>
        </w:rPr>
        <w:t>. Ensuring open data sharing and interoperability will be essential to achieving long-term impact and delivering community-wide benefits.</w:t>
      </w:r>
    </w:p>
    <w:p w14:paraId="56F5BCC0" w14:textId="03AA631F" w:rsidR="00152765" w:rsidRDefault="00152765" w:rsidP="00946811">
      <w:pPr>
        <w:jc w:val="both"/>
        <w:rPr>
          <w:rFonts w:asciiTheme="minorHAnsi" w:hAnsiTheme="minorHAnsi" w:cstheme="minorHAnsi"/>
          <w:lang w:val="en-US"/>
        </w:rPr>
      </w:pPr>
    </w:p>
    <w:p w14:paraId="51E7FD72" w14:textId="77777777" w:rsidR="00152765" w:rsidRPr="00152765" w:rsidRDefault="00152765" w:rsidP="00152765">
      <w:pPr>
        <w:jc w:val="both"/>
        <w:rPr>
          <w:rFonts w:asciiTheme="minorHAnsi" w:hAnsiTheme="minorHAnsi" w:cstheme="minorHAnsi"/>
          <w:lang w:val="en-US"/>
        </w:rPr>
      </w:pPr>
      <w:r w:rsidRPr="00152765">
        <w:rPr>
          <w:rFonts w:asciiTheme="minorHAnsi" w:hAnsiTheme="minorHAnsi" w:cstheme="minorHAnsi"/>
          <w:lang w:val="en-US"/>
        </w:rPr>
        <w:t>Against this background, the EuroFFANG RI consortium, together with partners from recent INFRAIA projects — AQUAEXCEL3.0, PIGWEB, and SmartCow — has formed a consortium to merge genotype-driven (G) and phenotype-driven (P) approaches to advance G2P research and improve farmed animal husbandry in line with the European Green Deal and Farm to Fork strategies.</w:t>
      </w:r>
    </w:p>
    <w:p w14:paraId="4BF2E61D" w14:textId="77777777" w:rsidR="00152765" w:rsidRPr="00152765" w:rsidRDefault="00152765" w:rsidP="00152765">
      <w:pPr>
        <w:jc w:val="both"/>
        <w:rPr>
          <w:rFonts w:asciiTheme="minorHAnsi" w:hAnsiTheme="minorHAnsi" w:cstheme="minorHAnsi"/>
          <w:lang w:val="en-US"/>
        </w:rPr>
      </w:pPr>
      <w:r w:rsidRPr="00152765">
        <w:rPr>
          <w:rFonts w:asciiTheme="minorHAnsi" w:hAnsiTheme="minorHAnsi" w:cstheme="minorHAnsi"/>
          <w:lang w:val="en-US"/>
        </w:rPr>
        <w:t>The "GenoPHEnix" initiative has submitted a proposal for the inclusion of new Research Infrastructure (RI) projects into an updated version of the ESFRI Roadmap, to be completed in 2026.</w:t>
      </w:r>
    </w:p>
    <w:p w14:paraId="4072CF5C" w14:textId="77777777" w:rsidR="00152765" w:rsidRDefault="00152765" w:rsidP="00152765">
      <w:pPr>
        <w:jc w:val="both"/>
        <w:rPr>
          <w:rFonts w:asciiTheme="minorHAnsi" w:hAnsiTheme="minorHAnsi" w:cstheme="minorHAnsi"/>
          <w:lang w:val="en-US"/>
        </w:rPr>
      </w:pPr>
      <w:r w:rsidRPr="00152765">
        <w:rPr>
          <w:rFonts w:asciiTheme="minorHAnsi" w:hAnsiTheme="minorHAnsi" w:cstheme="minorHAnsi"/>
          <w:lang w:val="en-US"/>
        </w:rPr>
        <w:t>The proposed GenoPHEnix Research Infrastructure (RI) seeks to establish a pan-European, multi-species, multidisciplinary platform for animal genetic resources, phenotyping, and sustainable breeding, with a focus on improving animal health, welfare, resilience, and efficiency.</w:t>
      </w:r>
    </w:p>
    <w:p w14:paraId="3AA94CBE" w14:textId="77777777" w:rsidR="00152765" w:rsidRDefault="00152765" w:rsidP="00946811">
      <w:pPr>
        <w:jc w:val="both"/>
        <w:rPr>
          <w:rFonts w:asciiTheme="minorHAnsi" w:hAnsiTheme="minorHAnsi" w:cstheme="minorHAnsi"/>
          <w:lang w:val="en-US"/>
        </w:rPr>
      </w:pPr>
    </w:p>
    <w:p w14:paraId="471C8A94" w14:textId="77777777" w:rsidR="00082930" w:rsidRDefault="00082930">
      <w:pPr>
        <w:spacing w:line="240" w:lineRule="auto"/>
        <w:rPr>
          <w:rFonts w:asciiTheme="minorHAnsi" w:hAnsiTheme="minorHAnsi" w:cstheme="minorHAnsi"/>
          <w:lang w:val="en-US"/>
        </w:rPr>
      </w:pPr>
      <w:r>
        <w:rPr>
          <w:rFonts w:asciiTheme="minorHAnsi" w:hAnsiTheme="minorHAnsi" w:cstheme="minorHAnsi"/>
          <w:lang w:val="en-US"/>
        </w:rPr>
        <w:br w:type="page"/>
      </w:r>
    </w:p>
    <w:p w14:paraId="2D75A8D7" w14:textId="021CEC62" w:rsidR="007650DF" w:rsidRPr="00D87785" w:rsidRDefault="00DA6E97" w:rsidP="00D87785">
      <w:pPr>
        <w:pStyle w:val="berschrift1"/>
        <w:numPr>
          <w:ilvl w:val="0"/>
          <w:numId w:val="0"/>
        </w:numPr>
        <w:rPr>
          <w:color w:val="1F4E79"/>
        </w:rPr>
      </w:pPr>
      <w:bookmarkStart w:id="27" w:name="_Toc196688420"/>
      <w:r w:rsidRPr="00D87785">
        <w:rPr>
          <w:color w:val="1F4E79"/>
        </w:rPr>
        <w:lastRenderedPageBreak/>
        <w:t xml:space="preserve">4. </w:t>
      </w:r>
      <w:r w:rsidR="00626D0C" w:rsidRPr="00D87785">
        <w:rPr>
          <w:color w:val="1F4E79"/>
        </w:rPr>
        <w:t>Annex</w:t>
      </w:r>
      <w:bookmarkEnd w:id="27"/>
    </w:p>
    <w:p w14:paraId="47CC2C82" w14:textId="77777777" w:rsidR="002F626A" w:rsidRPr="00D87785" w:rsidRDefault="002F626A" w:rsidP="002F626A">
      <w:pPr>
        <w:pStyle w:val="berschrift2"/>
        <w:rPr>
          <w:color w:val="1F4E79"/>
          <w:sz w:val="28"/>
        </w:rPr>
      </w:pPr>
      <w:bookmarkStart w:id="28" w:name="_Toc196643204"/>
      <w:bookmarkStart w:id="29" w:name="_Toc196688421"/>
      <w:r w:rsidRPr="00D87785">
        <w:rPr>
          <w:color w:val="1F4E79"/>
          <w:sz w:val="28"/>
          <w:szCs w:val="28"/>
        </w:rPr>
        <w:t>4.1</w:t>
      </w:r>
      <w:bookmarkEnd w:id="28"/>
      <w:r w:rsidRPr="00D87785">
        <w:rPr>
          <w:color w:val="1F4E79"/>
          <w:sz w:val="28"/>
          <w:szCs w:val="28"/>
        </w:rPr>
        <w:t xml:space="preserve"> Whiteboards capturing ideas that emerged during the workshop discussions</w:t>
      </w:r>
      <w:bookmarkEnd w:id="29"/>
    </w:p>
    <w:p w14:paraId="7ED4642B" w14:textId="77777777" w:rsidR="002F626A" w:rsidRDefault="002F626A" w:rsidP="002F626A">
      <w:r>
        <w:rPr>
          <w:noProof/>
        </w:rPr>
        <w:drawing>
          <wp:inline distT="0" distB="0" distL="0" distR="0" wp14:anchorId="197F4A30" wp14:editId="747A3C34">
            <wp:extent cx="5490845" cy="4852035"/>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iteboard_room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90845" cy="4852035"/>
                    </a:xfrm>
                    <a:prstGeom prst="rect">
                      <a:avLst/>
                    </a:prstGeom>
                  </pic:spPr>
                </pic:pic>
              </a:graphicData>
            </a:graphic>
          </wp:inline>
        </w:drawing>
      </w:r>
      <w:r>
        <w:rPr>
          <w:noProof/>
        </w:rPr>
        <w:drawing>
          <wp:inline distT="0" distB="0" distL="0" distR="0" wp14:anchorId="1E301E81" wp14:editId="370EFA2E">
            <wp:extent cx="5490845" cy="2931160"/>
            <wp:effectExtent l="0" t="0" r="0" b="254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iteboard_room2_Seite_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90845" cy="2931160"/>
                    </a:xfrm>
                    <a:prstGeom prst="rect">
                      <a:avLst/>
                    </a:prstGeom>
                  </pic:spPr>
                </pic:pic>
              </a:graphicData>
            </a:graphic>
          </wp:inline>
        </w:drawing>
      </w:r>
      <w:r>
        <w:rPr>
          <w:noProof/>
        </w:rPr>
        <w:lastRenderedPageBreak/>
        <w:drawing>
          <wp:inline distT="0" distB="0" distL="0" distR="0" wp14:anchorId="54A07CD8" wp14:editId="740810D2">
            <wp:extent cx="5490845" cy="465074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iteboard_room2_Seite_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90845" cy="4650740"/>
                    </a:xfrm>
                    <a:prstGeom prst="rect">
                      <a:avLst/>
                    </a:prstGeom>
                  </pic:spPr>
                </pic:pic>
              </a:graphicData>
            </a:graphic>
          </wp:inline>
        </w:drawing>
      </w:r>
      <w:r>
        <w:rPr>
          <w:noProof/>
        </w:rPr>
        <w:drawing>
          <wp:inline distT="0" distB="0" distL="0" distR="0" wp14:anchorId="227A5B57" wp14:editId="005C67D5">
            <wp:extent cx="5490845" cy="365823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hiteboard_room2_Seite_3.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90845" cy="3658235"/>
                    </a:xfrm>
                    <a:prstGeom prst="rect">
                      <a:avLst/>
                    </a:prstGeom>
                  </pic:spPr>
                </pic:pic>
              </a:graphicData>
            </a:graphic>
          </wp:inline>
        </w:drawing>
      </w:r>
      <w:r>
        <w:rPr>
          <w:noProof/>
        </w:rPr>
        <w:lastRenderedPageBreak/>
        <w:drawing>
          <wp:inline distT="0" distB="0" distL="0" distR="0" wp14:anchorId="1275CAC5" wp14:editId="342B68B3">
            <wp:extent cx="5490845" cy="3342005"/>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hiteboard_room2_Seite_4.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90845" cy="3342005"/>
                    </a:xfrm>
                    <a:prstGeom prst="rect">
                      <a:avLst/>
                    </a:prstGeom>
                  </pic:spPr>
                </pic:pic>
              </a:graphicData>
            </a:graphic>
          </wp:inline>
        </w:drawing>
      </w:r>
    </w:p>
    <w:p w14:paraId="3513C9DF" w14:textId="77777777" w:rsidR="002F626A" w:rsidRDefault="002F626A" w:rsidP="002F626A">
      <w:pPr>
        <w:spacing w:line="240" w:lineRule="auto"/>
        <w:rPr>
          <w:lang w:val="en-GB" w:eastAsia="en-GB"/>
        </w:rPr>
      </w:pPr>
      <w:r>
        <w:rPr>
          <w:lang w:val="en-GB" w:eastAsia="en-GB"/>
        </w:rPr>
        <w:br w:type="page"/>
      </w:r>
    </w:p>
    <w:p w14:paraId="53343A6A" w14:textId="77777777" w:rsidR="002F626A" w:rsidRPr="003D01AC" w:rsidRDefault="002F626A" w:rsidP="002F626A"/>
    <w:p w14:paraId="15B1DC83" w14:textId="7D87D175" w:rsidR="002F626A" w:rsidRPr="00D87785" w:rsidRDefault="002F626A" w:rsidP="002F626A">
      <w:pPr>
        <w:pStyle w:val="berschrift2"/>
        <w:rPr>
          <w:color w:val="1F4E79"/>
          <w:sz w:val="28"/>
          <w:szCs w:val="28"/>
        </w:rPr>
      </w:pPr>
      <w:bookmarkStart w:id="30" w:name="_Toc196688422"/>
      <w:r w:rsidRPr="00D87785">
        <w:rPr>
          <w:rStyle w:val="berschrift2Zchn"/>
          <w:b/>
          <w:color w:val="1F4E79"/>
          <w:sz w:val="28"/>
          <w:szCs w:val="28"/>
        </w:rPr>
        <w:t>4.2</w:t>
      </w:r>
      <w:r w:rsidRPr="00D87785">
        <w:rPr>
          <w:color w:val="1F4E79"/>
          <w:sz w:val="28"/>
          <w:szCs w:val="28"/>
        </w:rPr>
        <w:t xml:space="preserve"> Agenda</w:t>
      </w:r>
      <w:bookmarkStart w:id="31" w:name="_GoBack"/>
      <w:bookmarkEnd w:id="31"/>
      <w:r w:rsidRPr="00D87785">
        <w:rPr>
          <w:color w:val="1F4E79"/>
          <w:sz w:val="28"/>
          <w:szCs w:val="28"/>
        </w:rPr>
        <w:t xml:space="preserve"> of the G2P In a Dish workshop (3rd-7th February 2025, Jouy-en-Josas, France)</w:t>
      </w:r>
      <w:bookmarkEnd w:id="30"/>
    </w:p>
    <w:p w14:paraId="6365458F" w14:textId="77777777" w:rsidR="002F626A" w:rsidRPr="00FE46B6" w:rsidRDefault="002F626A" w:rsidP="002F626A">
      <w:pPr>
        <w:rPr>
          <w:rFonts w:asciiTheme="minorHAnsi" w:hAnsiTheme="minorHAnsi" w:cstheme="minorHAnsi"/>
          <w:lang w:val="en-GB" w:eastAsia="en-GB"/>
        </w:rPr>
      </w:pPr>
    </w:p>
    <w:p w14:paraId="3F2A7317" w14:textId="2A1E98AE" w:rsidR="002F626A" w:rsidRDefault="002F626A" w:rsidP="002F626A">
      <w:pPr>
        <w:jc w:val="center"/>
        <w:rPr>
          <w:rFonts w:asciiTheme="minorHAnsi" w:hAnsiTheme="minorHAnsi" w:cstheme="minorHAnsi"/>
          <w:lang w:val="en-GB" w:eastAsia="en-GB"/>
        </w:rPr>
      </w:pPr>
      <w:r>
        <w:rPr>
          <w:noProof/>
        </w:rPr>
        <w:drawing>
          <wp:inline distT="0" distB="0" distL="0" distR="0" wp14:anchorId="67E34D64" wp14:editId="161CE533">
            <wp:extent cx="4885200" cy="6912000"/>
            <wp:effectExtent l="0" t="0" r="0" b="317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2P_in-a-dish_agenda_Seite_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885200" cy="6912000"/>
                    </a:xfrm>
                    <a:prstGeom prst="rect">
                      <a:avLst/>
                    </a:prstGeom>
                  </pic:spPr>
                </pic:pic>
              </a:graphicData>
            </a:graphic>
          </wp:inline>
        </w:drawing>
      </w:r>
    </w:p>
    <w:p w14:paraId="72D4183C" w14:textId="13509EF1" w:rsidR="001A30F5" w:rsidRDefault="001A30F5" w:rsidP="002F626A">
      <w:pPr>
        <w:jc w:val="center"/>
        <w:rPr>
          <w:rFonts w:asciiTheme="minorHAnsi" w:hAnsiTheme="minorHAnsi" w:cstheme="minorHAnsi"/>
          <w:lang w:val="en-GB" w:eastAsia="en-GB"/>
        </w:rPr>
      </w:pPr>
    </w:p>
    <w:p w14:paraId="16EE5274" w14:textId="4B988115" w:rsidR="001A30F5" w:rsidRPr="00FE46B6" w:rsidRDefault="001A30F5" w:rsidP="002F626A">
      <w:pPr>
        <w:jc w:val="center"/>
        <w:rPr>
          <w:rFonts w:asciiTheme="minorHAnsi" w:hAnsiTheme="minorHAnsi" w:cstheme="minorHAnsi"/>
          <w:lang w:val="en-GB" w:eastAsia="en-GB"/>
        </w:rPr>
      </w:pPr>
      <w:r>
        <w:rPr>
          <w:rFonts w:asciiTheme="minorHAnsi" w:hAnsiTheme="minorHAnsi" w:cstheme="minorHAnsi"/>
          <w:noProof/>
        </w:rPr>
        <w:lastRenderedPageBreak/>
        <w:drawing>
          <wp:inline distT="0" distB="0" distL="0" distR="0" wp14:anchorId="6CC9D41B" wp14:editId="5955F813">
            <wp:extent cx="4885200" cy="6908400"/>
            <wp:effectExtent l="0" t="0" r="0" b="698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2P_in-a-dish_agenda_Seite_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85200" cy="6908400"/>
                    </a:xfrm>
                    <a:prstGeom prst="rect">
                      <a:avLst/>
                    </a:prstGeom>
                  </pic:spPr>
                </pic:pic>
              </a:graphicData>
            </a:graphic>
          </wp:inline>
        </w:drawing>
      </w:r>
      <w:r>
        <w:rPr>
          <w:rFonts w:asciiTheme="minorHAnsi" w:hAnsiTheme="minorHAnsi" w:cstheme="minorHAnsi"/>
          <w:noProof/>
        </w:rPr>
        <w:lastRenderedPageBreak/>
        <w:drawing>
          <wp:inline distT="0" distB="0" distL="0" distR="0" wp14:anchorId="688165A4" wp14:editId="7552FF48">
            <wp:extent cx="4885200" cy="6908400"/>
            <wp:effectExtent l="0" t="0" r="0" b="698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2P_in-a-dish_agenda_Seite_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885200" cy="6908400"/>
                    </a:xfrm>
                    <a:prstGeom prst="rect">
                      <a:avLst/>
                    </a:prstGeom>
                  </pic:spPr>
                </pic:pic>
              </a:graphicData>
            </a:graphic>
          </wp:inline>
        </w:drawing>
      </w:r>
      <w:r>
        <w:rPr>
          <w:rFonts w:asciiTheme="minorHAnsi" w:hAnsiTheme="minorHAnsi" w:cstheme="minorHAnsi"/>
          <w:noProof/>
        </w:rPr>
        <w:lastRenderedPageBreak/>
        <w:drawing>
          <wp:inline distT="0" distB="0" distL="0" distR="0" wp14:anchorId="0656D997" wp14:editId="0C8AA28F">
            <wp:extent cx="4885200" cy="6908400"/>
            <wp:effectExtent l="0" t="0" r="0" b="698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2P_in-a-dish_agenda_Seite_4.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885200" cy="6908400"/>
                    </a:xfrm>
                    <a:prstGeom prst="rect">
                      <a:avLst/>
                    </a:prstGeom>
                  </pic:spPr>
                </pic:pic>
              </a:graphicData>
            </a:graphic>
          </wp:inline>
        </w:drawing>
      </w:r>
      <w:r>
        <w:rPr>
          <w:rFonts w:asciiTheme="minorHAnsi" w:hAnsiTheme="minorHAnsi" w:cstheme="minorHAnsi"/>
          <w:noProof/>
        </w:rPr>
        <w:lastRenderedPageBreak/>
        <w:drawing>
          <wp:inline distT="0" distB="0" distL="0" distR="0" wp14:anchorId="16BA6BB3" wp14:editId="42849B9C">
            <wp:extent cx="4885200" cy="6908400"/>
            <wp:effectExtent l="0" t="0" r="0" b="698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2P_in-a-dish_agenda_Seite_5.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885200" cy="6908400"/>
                    </a:xfrm>
                    <a:prstGeom prst="rect">
                      <a:avLst/>
                    </a:prstGeom>
                  </pic:spPr>
                </pic:pic>
              </a:graphicData>
            </a:graphic>
          </wp:inline>
        </w:drawing>
      </w:r>
      <w:r>
        <w:rPr>
          <w:rFonts w:asciiTheme="minorHAnsi" w:hAnsiTheme="minorHAnsi" w:cstheme="minorHAnsi"/>
          <w:noProof/>
        </w:rPr>
        <w:lastRenderedPageBreak/>
        <w:drawing>
          <wp:inline distT="0" distB="0" distL="0" distR="0" wp14:anchorId="349CE071" wp14:editId="26D38CFA">
            <wp:extent cx="4885200" cy="6908400"/>
            <wp:effectExtent l="0" t="0" r="0" b="698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2P_in-a-dish_agenda_Seite_6.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885200" cy="6908400"/>
                    </a:xfrm>
                    <a:prstGeom prst="rect">
                      <a:avLst/>
                    </a:prstGeom>
                  </pic:spPr>
                </pic:pic>
              </a:graphicData>
            </a:graphic>
          </wp:inline>
        </w:drawing>
      </w:r>
    </w:p>
    <w:p w14:paraId="6D464473" w14:textId="77777777" w:rsidR="002F626A" w:rsidRDefault="002F626A">
      <w:pPr>
        <w:spacing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b/>
          <w:sz w:val="24"/>
          <w:szCs w:val="24"/>
        </w:rPr>
        <w:br w:type="page"/>
      </w:r>
    </w:p>
    <w:p w14:paraId="14E2951A" w14:textId="58FFED7A" w:rsidR="002F626A" w:rsidRDefault="002F626A" w:rsidP="002F626A">
      <w:pPr>
        <w:pStyle w:val="berschrift2"/>
        <w:rPr>
          <w:sz w:val="28"/>
          <w:szCs w:val="28"/>
        </w:rPr>
      </w:pPr>
      <w:bookmarkStart w:id="32" w:name="_Toc196688423"/>
      <w:r w:rsidRPr="00FE46B6">
        <w:rPr>
          <w:sz w:val="28"/>
          <w:szCs w:val="28"/>
        </w:rPr>
        <w:lastRenderedPageBreak/>
        <w:t xml:space="preserve">4.3 </w:t>
      </w:r>
      <w:r>
        <w:rPr>
          <w:sz w:val="28"/>
          <w:szCs w:val="28"/>
        </w:rPr>
        <w:t>Updated survey form</w:t>
      </w:r>
      <w:bookmarkEnd w:id="32"/>
    </w:p>
    <w:p w14:paraId="40675C21" w14:textId="77777777" w:rsidR="002F626A" w:rsidRDefault="002F626A" w:rsidP="00D87785">
      <w:pPr>
        <w:pStyle w:val="StandardWeb"/>
        <w:jc w:val="center"/>
        <w:rPr>
          <w:rFonts w:asciiTheme="minorHAnsi" w:hAnsiTheme="minorHAnsi" w:cstheme="minorHAnsi"/>
        </w:rPr>
      </w:pPr>
      <w:r>
        <w:rPr>
          <w:rFonts w:asciiTheme="minorHAnsi" w:hAnsiTheme="minorHAnsi" w:cstheme="minorHAnsi"/>
          <w:noProof/>
          <w:lang w:val="de-DE" w:eastAsia="de-DE"/>
        </w:rPr>
        <w:drawing>
          <wp:inline distT="0" distB="0" distL="0" distR="0" wp14:anchorId="78165ED7" wp14:editId="0D41571E">
            <wp:extent cx="4888800" cy="6915600"/>
            <wp:effectExtent l="0" t="0" r="762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rvey v2.0_Seite_1.jpg"/>
                    <pic:cNvPicPr/>
                  </pic:nvPicPr>
                  <pic:blipFill>
                    <a:blip r:embed="rId27">
                      <a:extLst>
                        <a:ext uri="{28A0092B-C50C-407E-A947-70E740481C1C}">
                          <a14:useLocalDpi xmlns:a14="http://schemas.microsoft.com/office/drawing/2010/main" val="0"/>
                        </a:ext>
                      </a:extLst>
                    </a:blip>
                    <a:stretch>
                      <a:fillRect/>
                    </a:stretch>
                  </pic:blipFill>
                  <pic:spPr>
                    <a:xfrm>
                      <a:off x="0" y="0"/>
                      <a:ext cx="4888800" cy="6915600"/>
                    </a:xfrm>
                    <a:prstGeom prst="rect">
                      <a:avLst/>
                    </a:prstGeom>
                  </pic:spPr>
                </pic:pic>
              </a:graphicData>
            </a:graphic>
          </wp:inline>
        </w:drawing>
      </w:r>
    </w:p>
    <w:p w14:paraId="7450639E" w14:textId="2C17632F" w:rsidR="00CB4A78" w:rsidRPr="001B29B9" w:rsidRDefault="002F626A" w:rsidP="00D87785">
      <w:pPr>
        <w:pStyle w:val="StandardWeb"/>
        <w:jc w:val="center"/>
      </w:pPr>
      <w:bookmarkStart w:id="33" w:name="_Toc196688424"/>
      <w:r>
        <w:rPr>
          <w:noProof/>
        </w:rPr>
        <w:lastRenderedPageBreak/>
        <w:drawing>
          <wp:inline distT="0" distB="0" distL="0" distR="0" wp14:anchorId="1EB7DADD" wp14:editId="614877DE">
            <wp:extent cx="4888800" cy="6915600"/>
            <wp:effectExtent l="0" t="0" r="762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rvey v2.0_Seite_2.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888800" cy="6915600"/>
                    </a:xfrm>
                    <a:prstGeom prst="rect">
                      <a:avLst/>
                    </a:prstGeom>
                  </pic:spPr>
                </pic:pic>
              </a:graphicData>
            </a:graphic>
          </wp:inline>
        </w:drawing>
      </w:r>
      <w:r>
        <w:rPr>
          <w:noProof/>
        </w:rPr>
        <w:lastRenderedPageBreak/>
        <w:drawing>
          <wp:inline distT="0" distB="0" distL="0" distR="0" wp14:anchorId="4AE72191" wp14:editId="32BEEAF5">
            <wp:extent cx="4888800" cy="6915600"/>
            <wp:effectExtent l="0" t="0" r="762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urvey v2.0_Seite_3.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888800" cy="6915600"/>
                    </a:xfrm>
                    <a:prstGeom prst="rect">
                      <a:avLst/>
                    </a:prstGeom>
                  </pic:spPr>
                </pic:pic>
              </a:graphicData>
            </a:graphic>
          </wp:inline>
        </w:drawing>
      </w:r>
      <w:r>
        <w:rPr>
          <w:noProof/>
        </w:rPr>
        <w:lastRenderedPageBreak/>
        <w:drawing>
          <wp:inline distT="0" distB="0" distL="0" distR="0" wp14:anchorId="2D1C087E" wp14:editId="31700D67">
            <wp:extent cx="4888800" cy="6915600"/>
            <wp:effectExtent l="0" t="0" r="762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urvey v2.0_Seite_4.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888800" cy="6915600"/>
                    </a:xfrm>
                    <a:prstGeom prst="rect">
                      <a:avLst/>
                    </a:prstGeom>
                  </pic:spPr>
                </pic:pic>
              </a:graphicData>
            </a:graphic>
          </wp:inline>
        </w:drawing>
      </w:r>
      <w:bookmarkEnd w:id="33"/>
    </w:p>
    <w:sectPr w:rsidR="00CB4A78" w:rsidRPr="001B29B9">
      <w:footerReference w:type="default" r:id="rId31"/>
      <w:pgSz w:w="11906" w:h="16838"/>
      <w:pgMar w:top="1440" w:right="1558" w:bottom="1440" w:left="1701" w:header="0" w:footer="347" w:gutter="0"/>
      <w:cols w:space="720"/>
      <w:formProt w:val="0"/>
      <w:titlePg/>
      <w:docGrid w:linePitch="272" w:charSpace="819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B4AE65" w16cex:dateUtc="2025-04-24T10:34:00Z"/>
  <w16cex:commentExtensible w16cex:durableId="2BB4C1C4" w16cex:dateUtc="2025-04-24T11:57:00Z"/>
  <w16cex:commentExtensible w16cex:durableId="2BB3B09B" w16cex:dateUtc="2025-04-23T16:31:00Z"/>
  <w16cex:commentExtensible w16cex:durableId="2BB3B28D" w16cex:dateUtc="2025-04-23T16:40:00Z"/>
  <w16cex:commentExtensible w16cex:durableId="2BB4B848" w16cex:dateUtc="2025-04-24T11:16:00Z"/>
  <w16cex:commentExtensible w16cex:durableId="2BB4BC41" w16cex:dateUtc="2025-04-24T11:33:00Z"/>
  <w16cex:commentExtensible w16cex:durableId="2BB4BD8C" w16cex:dateUtc="2025-04-24T11:39:00Z"/>
  <w16cex:commentExtensible w16cex:durableId="2BB4BE64" w16cex:dateUtc="2025-04-24T11:43:00Z"/>
  <w16cex:commentExtensible w16cex:durableId="2BB4BF1A" w16cex:dateUtc="2025-04-24T11:46:00Z"/>
  <w16cex:commentExtensible w16cex:durableId="2BB4BFC4" w16cex:dateUtc="2025-04-24T11:48:00Z"/>
  <w16cex:commentExtensible w16cex:durableId="2BB9D56E" w16cex:dateUtc="2025-04-28T08:22:00Z"/>
  <w16cex:commentExtensible w16cex:durableId="2BB39D59" w16cex:dateUtc="2025-04-23T15: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32C365D" w16cid:durableId="2BB4AE65"/>
  <w16cid:commentId w16cid:paraId="73401612" w16cid:durableId="2BB9CF01"/>
  <w16cid:commentId w16cid:paraId="20CA97B8" w16cid:durableId="2BB4C1C4"/>
  <w16cid:commentId w16cid:paraId="540AFF56" w16cid:durableId="2BB3B09B"/>
  <w16cid:commentId w16cid:paraId="78CFEDF9" w16cid:durableId="2BB3B28D"/>
  <w16cid:commentId w16cid:paraId="5D302BDA" w16cid:durableId="2BB4B848"/>
  <w16cid:commentId w16cid:paraId="58DB8F44" w16cid:durableId="2BB9CF06"/>
  <w16cid:commentId w16cid:paraId="3B5F0F4B" w16cid:durableId="2BB4BC41"/>
  <w16cid:commentId w16cid:paraId="1AD56D4D" w16cid:durableId="2BB4BD8C"/>
  <w16cid:commentId w16cid:paraId="2239AB84" w16cid:durableId="2BB4BE64"/>
  <w16cid:commentId w16cid:paraId="231947A1" w16cid:durableId="2BB4BF1A"/>
  <w16cid:commentId w16cid:paraId="0B5BD63F" w16cid:durableId="2BB9CF0B"/>
  <w16cid:commentId w16cid:paraId="25DD726A" w16cid:durableId="2BB4BFC4"/>
  <w16cid:commentId w16cid:paraId="3318C97A" w16cid:durableId="2BB9CF0D"/>
  <w16cid:commentId w16cid:paraId="6E6A3C70" w16cid:durableId="2BB9CF0E"/>
  <w16cid:commentId w16cid:paraId="76C86CC2" w16cid:durableId="2BB9D56E"/>
  <w16cid:commentId w16cid:paraId="4A7CAF26" w16cid:durableId="2BB39D5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5B6588" w14:textId="77777777" w:rsidR="001A30F5" w:rsidRDefault="001A30F5">
      <w:pPr>
        <w:spacing w:line="240" w:lineRule="auto"/>
      </w:pPr>
      <w:r>
        <w:separator/>
      </w:r>
    </w:p>
  </w:endnote>
  <w:endnote w:type="continuationSeparator" w:id="0">
    <w:p w14:paraId="430B1A70" w14:textId="77777777" w:rsidR="001A30F5" w:rsidRDefault="001A30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Calibri"/>
    <w:charset w:val="00"/>
    <w:family w:val="auto"/>
    <w:pitch w:val="variable"/>
    <w:sig w:usb0="800000AF" w:usb1="1001ECE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6734771"/>
      <w:docPartObj>
        <w:docPartGallery w:val="Page Numbers (Bottom of Page)"/>
        <w:docPartUnique/>
      </w:docPartObj>
    </w:sdtPr>
    <w:sdtContent>
      <w:p w14:paraId="45A60B06" w14:textId="3457A4DE" w:rsidR="001A30F5" w:rsidRDefault="001A30F5">
        <w:pPr>
          <w:pStyle w:val="Fuzeile"/>
          <w:jc w:val="right"/>
          <w:rPr>
            <w:rFonts w:ascii="Century Gothic" w:hAnsi="Century Gothic"/>
            <w:color w:val="000000" w:themeColor="text1"/>
            <w:sz w:val="18"/>
          </w:rPr>
        </w:pPr>
        <w:r>
          <w:fldChar w:fldCharType="begin"/>
        </w:r>
        <w:r>
          <w:instrText xml:space="preserve"> PAGE </w:instrText>
        </w:r>
        <w:r>
          <w:fldChar w:fldCharType="separate"/>
        </w:r>
        <w:r w:rsidR="00406614">
          <w:rPr>
            <w:noProof/>
          </w:rPr>
          <w:t>21</w:t>
        </w:r>
        <w:r>
          <w:fldChar w:fldCharType="end"/>
        </w:r>
      </w:p>
    </w:sdtContent>
  </w:sdt>
  <w:p w14:paraId="0E01BF3F" w14:textId="77777777" w:rsidR="001A30F5" w:rsidRDefault="001A30F5">
    <w:pPr>
      <w:tabs>
        <w:tab w:val="center" w:pos="4513"/>
        <w:tab w:val="right" w:pos="9026"/>
      </w:tabs>
      <w:spacing w:line="240" w:lineRule="auto"/>
      <w:rPr>
        <w:rFonts w:asciiTheme="majorHAnsi" w:hAnsiTheme="majorHAnsi" w:cstheme="majorHAnsi"/>
        <w:color w:val="404D5E"/>
        <w:lang w:val="en-US"/>
      </w:rPr>
    </w:pPr>
    <w:r>
      <w:rPr>
        <w:rFonts w:asciiTheme="majorHAnsi" w:hAnsiTheme="majorHAnsi" w:cstheme="majorHAnsi"/>
        <w:color w:val="000000" w:themeColor="text1"/>
        <w:lang w:val="en-US"/>
      </w:rPr>
      <w:t xml:space="preserve">EuroFAANG D6.1: Bridging the gap between </w:t>
    </w:r>
    <w:r>
      <w:rPr>
        <w:rFonts w:asciiTheme="majorHAnsi" w:hAnsiTheme="majorHAnsi" w:cstheme="majorHAnsi"/>
        <w:i/>
        <w:color w:val="000000" w:themeColor="text1"/>
        <w:lang w:val="en-US"/>
      </w:rPr>
      <w:t>in vitro</w:t>
    </w:r>
    <w:r>
      <w:rPr>
        <w:rFonts w:asciiTheme="majorHAnsi" w:hAnsiTheme="majorHAnsi" w:cstheme="majorHAnsi"/>
        <w:color w:val="000000" w:themeColor="text1"/>
        <w:lang w:val="en-US"/>
      </w:rPr>
      <w:t xml:space="preserve"> and </w:t>
    </w:r>
    <w:r>
      <w:rPr>
        <w:rFonts w:asciiTheme="majorHAnsi" w:hAnsiTheme="majorHAnsi" w:cstheme="majorHAnsi"/>
        <w:i/>
        <w:color w:val="000000" w:themeColor="text1"/>
        <w:lang w:val="en-US"/>
      </w:rPr>
      <w:t>in vivo</w:t>
    </w:r>
    <w:r>
      <w:rPr>
        <w:rFonts w:asciiTheme="majorHAnsi" w:hAnsiTheme="majorHAnsi" w:cstheme="majorHAnsi"/>
        <w:color w:val="000000" w:themeColor="text1"/>
        <w:lang w:val="en-US"/>
      </w:rPr>
      <w:t xml:space="preserve"> research</w:t>
    </w:r>
  </w:p>
  <w:p w14:paraId="74129419" w14:textId="77777777" w:rsidR="001A30F5" w:rsidRDefault="001A30F5">
    <w:pPr>
      <w:tabs>
        <w:tab w:val="center" w:pos="4513"/>
        <w:tab w:val="right" w:pos="9026"/>
      </w:tabs>
      <w:spacing w:line="240" w:lineRule="auto"/>
      <w:rPr>
        <w:rFonts w:ascii="Century Gothic" w:hAnsi="Century Gothic"/>
        <w:color w:val="404D5E"/>
        <w:sz w:val="18"/>
        <w:lang w:val="en-US"/>
      </w:rPr>
    </w:pPr>
  </w:p>
  <w:p w14:paraId="07C8767A" w14:textId="77777777" w:rsidR="001A30F5" w:rsidRDefault="001A30F5">
    <w:pP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6F6AF" w14:textId="77777777" w:rsidR="001A30F5" w:rsidRDefault="001A30F5">
      <w:pPr>
        <w:spacing w:line="240" w:lineRule="auto"/>
      </w:pPr>
      <w:r>
        <w:separator/>
      </w:r>
    </w:p>
  </w:footnote>
  <w:footnote w:type="continuationSeparator" w:id="0">
    <w:p w14:paraId="41C11527" w14:textId="77777777" w:rsidR="001A30F5" w:rsidRDefault="001A30F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947008"/>
    <w:multiLevelType w:val="multilevel"/>
    <w:tmpl w:val="48AA1FC8"/>
    <w:lvl w:ilvl="0">
      <w:start w:val="1"/>
      <w:numFmt w:val="decimal"/>
      <w:pStyle w:val="berschrift1"/>
      <w:lvlText w:val="%1."/>
      <w:lvlJc w:val="left"/>
      <w:pPr>
        <w:tabs>
          <w:tab w:val="num" w:pos="0"/>
        </w:tabs>
        <w:ind w:left="360" w:hanging="360"/>
      </w:pPr>
    </w:lvl>
    <w:lvl w:ilvl="1">
      <w:start w:val="1"/>
      <w:numFmt w:val="decimal"/>
      <w:lvlText w:val="%1.%2."/>
      <w:lvlJc w:val="left"/>
      <w:pPr>
        <w:tabs>
          <w:tab w:val="num" w:pos="0"/>
        </w:tabs>
        <w:ind w:left="792" w:hanging="432"/>
      </w:pPr>
      <w:rPr>
        <w:color w:val="404D5E"/>
      </w:rPr>
    </w:lvl>
    <w:lvl w:ilvl="2">
      <w:start w:val="1"/>
      <w:numFmt w:val="decimal"/>
      <w:lvlText w:val="%1.%2.%3."/>
      <w:lvlJc w:val="left"/>
      <w:pPr>
        <w:tabs>
          <w:tab w:val="num" w:pos="0"/>
        </w:tabs>
        <w:ind w:left="1224" w:hanging="504"/>
      </w:pPr>
      <w:rPr>
        <w:b/>
        <w:color w:val="404D5E"/>
        <w:sz w:val="22"/>
        <w:szCs w:val="22"/>
      </w:rPr>
    </w:lvl>
    <w:lvl w:ilvl="3">
      <w:start w:val="1"/>
      <w:numFmt w:val="decimal"/>
      <w:lvlText w:val="%1.%2.%3.%4."/>
      <w:lvlJc w:val="left"/>
      <w:pPr>
        <w:tabs>
          <w:tab w:val="num" w:pos="0"/>
        </w:tabs>
        <w:ind w:left="1728" w:hanging="647"/>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1F1E00BC"/>
    <w:multiLevelType w:val="multilevel"/>
    <w:tmpl w:val="75E07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1FA81749"/>
    <w:multiLevelType w:val="hybridMultilevel"/>
    <w:tmpl w:val="F69C74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2F5414B"/>
    <w:multiLevelType w:val="multilevel"/>
    <w:tmpl w:val="1F4A9EA0"/>
    <w:lvl w:ilvl="0">
      <w:numFmt w:val="bullet"/>
      <w:lvlText w:val="-"/>
      <w:lvlJc w:val="left"/>
      <w:pPr>
        <w:tabs>
          <w:tab w:val="num" w:pos="720"/>
        </w:tabs>
        <w:ind w:left="720" w:hanging="360"/>
      </w:pPr>
      <w:rPr>
        <w:rFonts w:ascii="Calibri" w:hAnsi="Calibri" w:cs="Calibri"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27C13FCE"/>
    <w:multiLevelType w:val="multilevel"/>
    <w:tmpl w:val="11C2BF10"/>
    <w:lvl w:ilvl="0">
      <w:numFmt w:val="bullet"/>
      <w:lvlText w:val="-"/>
      <w:lvlJc w:val="left"/>
      <w:pPr>
        <w:tabs>
          <w:tab w:val="num" w:pos="720"/>
        </w:tabs>
        <w:ind w:left="720" w:hanging="360"/>
      </w:pPr>
      <w:rPr>
        <w:rFonts w:ascii="Calibri" w:hAnsi="Calibri" w:cs="Calibri"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2A1C2359"/>
    <w:multiLevelType w:val="multilevel"/>
    <w:tmpl w:val="75E07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3BA60DEE"/>
    <w:multiLevelType w:val="multilevel"/>
    <w:tmpl w:val="4C8CEE4A"/>
    <w:lvl w:ilvl="0">
      <w:numFmt w:val="bullet"/>
      <w:lvlText w:val="-"/>
      <w:lvlJc w:val="left"/>
      <w:pPr>
        <w:tabs>
          <w:tab w:val="num" w:pos="720"/>
        </w:tabs>
        <w:ind w:left="720" w:hanging="360"/>
      </w:pPr>
      <w:rPr>
        <w:rFonts w:ascii="Calibri" w:hAnsi="Calibri" w:cs="Calibri"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4D1E3F07"/>
    <w:multiLevelType w:val="multilevel"/>
    <w:tmpl w:val="69B81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4EA26C7F"/>
    <w:multiLevelType w:val="multilevel"/>
    <w:tmpl w:val="0F34C036"/>
    <w:lvl w:ilvl="0">
      <w:start w:val="1"/>
      <w:numFmt w:val="decimal"/>
      <w:lvlText w:val="%1."/>
      <w:lvlJc w:val="left"/>
      <w:pPr>
        <w:tabs>
          <w:tab w:val="num" w:pos="0"/>
        </w:tabs>
        <w:ind w:left="720" w:hanging="360"/>
      </w:pPr>
    </w:lvl>
    <w:lvl w:ilvl="1">
      <w:start w:val="1"/>
      <w:numFmt w:val="bullet"/>
      <w:lvlText w:val=""/>
      <w:lvlJc w:val="left"/>
      <w:pPr>
        <w:tabs>
          <w:tab w:val="num" w:pos="0"/>
        </w:tabs>
        <w:ind w:left="1440" w:hanging="360"/>
      </w:pPr>
      <w:rPr>
        <w:rFonts w:ascii="Symbol" w:hAnsi="Symbol" w:cs="Symbol"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502327D5"/>
    <w:multiLevelType w:val="multilevel"/>
    <w:tmpl w:val="C1241A2C"/>
    <w:lvl w:ilvl="0">
      <w:numFmt w:val="bullet"/>
      <w:lvlText w:val="-"/>
      <w:lvlJc w:val="left"/>
      <w:pPr>
        <w:tabs>
          <w:tab w:val="num" w:pos="720"/>
        </w:tabs>
        <w:ind w:left="720" w:hanging="360"/>
      </w:pPr>
      <w:rPr>
        <w:rFonts w:ascii="Calibri" w:hAnsi="Calibri" w:cs="Calibri"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59A01C3D"/>
    <w:multiLevelType w:val="multilevel"/>
    <w:tmpl w:val="22B842D2"/>
    <w:lvl w:ilvl="0">
      <w:numFmt w:val="bullet"/>
      <w:lvlText w:val="-"/>
      <w:lvlJc w:val="left"/>
      <w:pPr>
        <w:tabs>
          <w:tab w:val="num" w:pos="720"/>
        </w:tabs>
        <w:ind w:left="720" w:hanging="360"/>
      </w:pPr>
      <w:rPr>
        <w:rFonts w:ascii="Calibri" w:hAnsi="Calibri" w:cs="Calibri"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5EEC44CF"/>
    <w:multiLevelType w:val="multilevel"/>
    <w:tmpl w:val="113C7766"/>
    <w:lvl w:ilvl="0">
      <w:numFmt w:val="bullet"/>
      <w:lvlText w:val="-"/>
      <w:lvlJc w:val="left"/>
      <w:pPr>
        <w:tabs>
          <w:tab w:val="num" w:pos="720"/>
        </w:tabs>
        <w:ind w:left="720" w:hanging="360"/>
      </w:pPr>
      <w:rPr>
        <w:rFonts w:ascii="Calibri" w:hAnsi="Calibri" w:cs="Calibri"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742863FA"/>
    <w:multiLevelType w:val="multilevel"/>
    <w:tmpl w:val="6FEAF524"/>
    <w:lvl w:ilvl="0">
      <w:start w:val="1"/>
      <w:numFmt w:val="decimal"/>
      <w:lvlText w:val="%1."/>
      <w:lvlJc w:val="left"/>
      <w:pPr>
        <w:tabs>
          <w:tab w:val="num" w:pos="0"/>
        </w:tabs>
        <w:ind w:left="720" w:hanging="360"/>
      </w:pPr>
    </w:lvl>
    <w:lvl w:ilvl="1">
      <w:start w:val="1"/>
      <w:numFmt w:val="bullet"/>
      <w:lvlText w:val=""/>
      <w:lvlJc w:val="left"/>
      <w:pPr>
        <w:tabs>
          <w:tab w:val="num" w:pos="0"/>
        </w:tabs>
        <w:ind w:left="1440" w:hanging="360"/>
      </w:pPr>
      <w:rPr>
        <w:rFonts w:ascii="Symbol" w:hAnsi="Symbol" w:cs="Symbol"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8"/>
  </w:num>
  <w:num w:numId="3">
    <w:abstractNumId w:val="6"/>
  </w:num>
  <w:num w:numId="4">
    <w:abstractNumId w:val="4"/>
  </w:num>
  <w:num w:numId="5">
    <w:abstractNumId w:val="3"/>
  </w:num>
  <w:num w:numId="6">
    <w:abstractNumId w:val="12"/>
  </w:num>
  <w:num w:numId="7">
    <w:abstractNumId w:val="12"/>
    <w:lvlOverride w:ilvl="0">
      <w:startOverride w:val="1"/>
    </w:lvlOverride>
  </w:num>
  <w:num w:numId="8">
    <w:abstractNumId w:val="12"/>
  </w:num>
  <w:num w:numId="9">
    <w:abstractNumId w:val="12"/>
  </w:num>
  <w:num w:numId="10">
    <w:abstractNumId w:val="7"/>
  </w:num>
  <w:num w:numId="11">
    <w:abstractNumId w:val="10"/>
  </w:num>
  <w:num w:numId="12">
    <w:abstractNumId w:val="9"/>
  </w:num>
  <w:num w:numId="13">
    <w:abstractNumId w:val="11"/>
  </w:num>
  <w:num w:numId="14">
    <w:abstractNumId w:val="5"/>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trackRevisions/>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0DF"/>
    <w:rsid w:val="00007E0D"/>
    <w:rsid w:val="00033F6F"/>
    <w:rsid w:val="00044BBF"/>
    <w:rsid w:val="00047983"/>
    <w:rsid w:val="00055864"/>
    <w:rsid w:val="00082930"/>
    <w:rsid w:val="00083D17"/>
    <w:rsid w:val="000A11A3"/>
    <w:rsid w:val="000A28C9"/>
    <w:rsid w:val="000B0A81"/>
    <w:rsid w:val="000B283A"/>
    <w:rsid w:val="000B5CD4"/>
    <w:rsid w:val="000C3C69"/>
    <w:rsid w:val="000D255E"/>
    <w:rsid w:val="000D5C5E"/>
    <w:rsid w:val="000E5E45"/>
    <w:rsid w:val="000F53A6"/>
    <w:rsid w:val="001067A2"/>
    <w:rsid w:val="001354E9"/>
    <w:rsid w:val="00152765"/>
    <w:rsid w:val="00180B86"/>
    <w:rsid w:val="0019227D"/>
    <w:rsid w:val="001941C4"/>
    <w:rsid w:val="001A30F5"/>
    <w:rsid w:val="001B19F7"/>
    <w:rsid w:val="001B29B9"/>
    <w:rsid w:val="001C0C19"/>
    <w:rsid w:val="001D794D"/>
    <w:rsid w:val="001E3211"/>
    <w:rsid w:val="001E543A"/>
    <w:rsid w:val="001E7054"/>
    <w:rsid w:val="00200C09"/>
    <w:rsid w:val="002166BE"/>
    <w:rsid w:val="00222035"/>
    <w:rsid w:val="00237411"/>
    <w:rsid w:val="0024063C"/>
    <w:rsid w:val="00246A2C"/>
    <w:rsid w:val="0024798F"/>
    <w:rsid w:val="00247DFE"/>
    <w:rsid w:val="00255FB5"/>
    <w:rsid w:val="00260416"/>
    <w:rsid w:val="00265B59"/>
    <w:rsid w:val="00275F41"/>
    <w:rsid w:val="00283867"/>
    <w:rsid w:val="00286FBD"/>
    <w:rsid w:val="0029075E"/>
    <w:rsid w:val="00292AF9"/>
    <w:rsid w:val="00296946"/>
    <w:rsid w:val="002A20D5"/>
    <w:rsid w:val="002C2B05"/>
    <w:rsid w:val="002D1D7F"/>
    <w:rsid w:val="002E167C"/>
    <w:rsid w:val="002F5368"/>
    <w:rsid w:val="002F54EB"/>
    <w:rsid w:val="002F626A"/>
    <w:rsid w:val="00304AAB"/>
    <w:rsid w:val="00330821"/>
    <w:rsid w:val="00334744"/>
    <w:rsid w:val="003613A6"/>
    <w:rsid w:val="00364B02"/>
    <w:rsid w:val="003849CF"/>
    <w:rsid w:val="003A4B4D"/>
    <w:rsid w:val="003B7361"/>
    <w:rsid w:val="003C1F8F"/>
    <w:rsid w:val="003D01AC"/>
    <w:rsid w:val="003D40CE"/>
    <w:rsid w:val="003D6BA6"/>
    <w:rsid w:val="003D6E44"/>
    <w:rsid w:val="003E2E6E"/>
    <w:rsid w:val="003E4EB8"/>
    <w:rsid w:val="003E7AB1"/>
    <w:rsid w:val="00406614"/>
    <w:rsid w:val="0041250C"/>
    <w:rsid w:val="00420A37"/>
    <w:rsid w:val="00436D19"/>
    <w:rsid w:val="00453C19"/>
    <w:rsid w:val="00453D33"/>
    <w:rsid w:val="00462BA7"/>
    <w:rsid w:val="00471146"/>
    <w:rsid w:val="004834A6"/>
    <w:rsid w:val="0049035A"/>
    <w:rsid w:val="004A2BFB"/>
    <w:rsid w:val="004A67D2"/>
    <w:rsid w:val="004D01D3"/>
    <w:rsid w:val="004E41DE"/>
    <w:rsid w:val="00553DB3"/>
    <w:rsid w:val="005552CC"/>
    <w:rsid w:val="0056375C"/>
    <w:rsid w:val="00564143"/>
    <w:rsid w:val="00573E50"/>
    <w:rsid w:val="00583FEA"/>
    <w:rsid w:val="00594822"/>
    <w:rsid w:val="00595716"/>
    <w:rsid w:val="0059702D"/>
    <w:rsid w:val="005A130B"/>
    <w:rsid w:val="005A1791"/>
    <w:rsid w:val="005A6FB2"/>
    <w:rsid w:val="005B7697"/>
    <w:rsid w:val="005D43DA"/>
    <w:rsid w:val="005D5AF1"/>
    <w:rsid w:val="005D6D0F"/>
    <w:rsid w:val="005F0453"/>
    <w:rsid w:val="005F6718"/>
    <w:rsid w:val="00613FA3"/>
    <w:rsid w:val="00626D0C"/>
    <w:rsid w:val="00626F72"/>
    <w:rsid w:val="00650DE7"/>
    <w:rsid w:val="00653827"/>
    <w:rsid w:val="00657CDD"/>
    <w:rsid w:val="00672C56"/>
    <w:rsid w:val="00675E2A"/>
    <w:rsid w:val="006868AA"/>
    <w:rsid w:val="00687AF2"/>
    <w:rsid w:val="006A5385"/>
    <w:rsid w:val="006A6BDE"/>
    <w:rsid w:val="006B0C0B"/>
    <w:rsid w:val="006B1B1D"/>
    <w:rsid w:val="006B3259"/>
    <w:rsid w:val="006C2775"/>
    <w:rsid w:val="006E19FC"/>
    <w:rsid w:val="00704EA6"/>
    <w:rsid w:val="0072004C"/>
    <w:rsid w:val="00744EB4"/>
    <w:rsid w:val="00751071"/>
    <w:rsid w:val="007638C6"/>
    <w:rsid w:val="007650DF"/>
    <w:rsid w:val="00765D71"/>
    <w:rsid w:val="007703F4"/>
    <w:rsid w:val="007735FB"/>
    <w:rsid w:val="007A6B5B"/>
    <w:rsid w:val="007B1F04"/>
    <w:rsid w:val="007B24D1"/>
    <w:rsid w:val="007B55D4"/>
    <w:rsid w:val="007E0C01"/>
    <w:rsid w:val="007E26E8"/>
    <w:rsid w:val="007E5A22"/>
    <w:rsid w:val="00804FE1"/>
    <w:rsid w:val="00813EB9"/>
    <w:rsid w:val="00850B54"/>
    <w:rsid w:val="00874590"/>
    <w:rsid w:val="00883EA2"/>
    <w:rsid w:val="00890220"/>
    <w:rsid w:val="00896635"/>
    <w:rsid w:val="008A4605"/>
    <w:rsid w:val="008B2ADD"/>
    <w:rsid w:val="008B626E"/>
    <w:rsid w:val="008C29E3"/>
    <w:rsid w:val="008D55C7"/>
    <w:rsid w:val="008E16D3"/>
    <w:rsid w:val="0091222A"/>
    <w:rsid w:val="00916A9C"/>
    <w:rsid w:val="00917330"/>
    <w:rsid w:val="0094166B"/>
    <w:rsid w:val="00946811"/>
    <w:rsid w:val="00954AE0"/>
    <w:rsid w:val="009676A6"/>
    <w:rsid w:val="009677E5"/>
    <w:rsid w:val="0097360E"/>
    <w:rsid w:val="00996FA8"/>
    <w:rsid w:val="009A098A"/>
    <w:rsid w:val="009A2A87"/>
    <w:rsid w:val="009C6A6F"/>
    <w:rsid w:val="009D0B08"/>
    <w:rsid w:val="009D146B"/>
    <w:rsid w:val="009D4609"/>
    <w:rsid w:val="009D4C62"/>
    <w:rsid w:val="009E4F32"/>
    <w:rsid w:val="009E5CA6"/>
    <w:rsid w:val="009F5EA2"/>
    <w:rsid w:val="00A11EC2"/>
    <w:rsid w:val="00A12EEB"/>
    <w:rsid w:val="00A22B2C"/>
    <w:rsid w:val="00A336F2"/>
    <w:rsid w:val="00A34FBA"/>
    <w:rsid w:val="00A5597F"/>
    <w:rsid w:val="00A60F06"/>
    <w:rsid w:val="00A708F6"/>
    <w:rsid w:val="00A7684A"/>
    <w:rsid w:val="00A80D61"/>
    <w:rsid w:val="00A9285E"/>
    <w:rsid w:val="00A96C15"/>
    <w:rsid w:val="00AB41D6"/>
    <w:rsid w:val="00AD6971"/>
    <w:rsid w:val="00AE160D"/>
    <w:rsid w:val="00AE3397"/>
    <w:rsid w:val="00AE3C65"/>
    <w:rsid w:val="00AE5C51"/>
    <w:rsid w:val="00AF350A"/>
    <w:rsid w:val="00AF5146"/>
    <w:rsid w:val="00B03023"/>
    <w:rsid w:val="00B101BA"/>
    <w:rsid w:val="00B37074"/>
    <w:rsid w:val="00B47D83"/>
    <w:rsid w:val="00B6135C"/>
    <w:rsid w:val="00B635D9"/>
    <w:rsid w:val="00B714FC"/>
    <w:rsid w:val="00B829C7"/>
    <w:rsid w:val="00BA4AF5"/>
    <w:rsid w:val="00BC23DA"/>
    <w:rsid w:val="00BD5A81"/>
    <w:rsid w:val="00BE5728"/>
    <w:rsid w:val="00BF21DF"/>
    <w:rsid w:val="00C35FE2"/>
    <w:rsid w:val="00C620DC"/>
    <w:rsid w:val="00C659C0"/>
    <w:rsid w:val="00C74D66"/>
    <w:rsid w:val="00C85329"/>
    <w:rsid w:val="00CB3EBA"/>
    <w:rsid w:val="00CB49FA"/>
    <w:rsid w:val="00CB4A78"/>
    <w:rsid w:val="00CD38C4"/>
    <w:rsid w:val="00CE00BF"/>
    <w:rsid w:val="00D018BD"/>
    <w:rsid w:val="00D12B09"/>
    <w:rsid w:val="00D22752"/>
    <w:rsid w:val="00D42E4D"/>
    <w:rsid w:val="00D44A43"/>
    <w:rsid w:val="00D47B02"/>
    <w:rsid w:val="00D511E0"/>
    <w:rsid w:val="00D54CC8"/>
    <w:rsid w:val="00D87785"/>
    <w:rsid w:val="00D9290D"/>
    <w:rsid w:val="00DA6E97"/>
    <w:rsid w:val="00DB3621"/>
    <w:rsid w:val="00DC440D"/>
    <w:rsid w:val="00DD54D7"/>
    <w:rsid w:val="00DD7032"/>
    <w:rsid w:val="00DE417A"/>
    <w:rsid w:val="00DE68E2"/>
    <w:rsid w:val="00DF3DF3"/>
    <w:rsid w:val="00E240CE"/>
    <w:rsid w:val="00E503DF"/>
    <w:rsid w:val="00E5397C"/>
    <w:rsid w:val="00E843F4"/>
    <w:rsid w:val="00EA1AF9"/>
    <w:rsid w:val="00EA3A11"/>
    <w:rsid w:val="00EC4A8C"/>
    <w:rsid w:val="00EE2643"/>
    <w:rsid w:val="00EE28CB"/>
    <w:rsid w:val="00EE4D17"/>
    <w:rsid w:val="00EE6DE6"/>
    <w:rsid w:val="00F130BD"/>
    <w:rsid w:val="00F13D10"/>
    <w:rsid w:val="00F27D40"/>
    <w:rsid w:val="00F343C3"/>
    <w:rsid w:val="00F501E8"/>
    <w:rsid w:val="00F54A1D"/>
    <w:rsid w:val="00F61D61"/>
    <w:rsid w:val="00F6589B"/>
    <w:rsid w:val="00F67E03"/>
    <w:rsid w:val="00F95037"/>
    <w:rsid w:val="00FA1F67"/>
    <w:rsid w:val="00FA23EE"/>
    <w:rsid w:val="00FC220D"/>
    <w:rsid w:val="00FC3DD3"/>
    <w:rsid w:val="00FD2922"/>
    <w:rsid w:val="00FF1E8E"/>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DF78C"/>
  <w15:docId w15:val="{8493259F-86CA-4CFB-A50B-3B8F11024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620DC"/>
    <w:pPr>
      <w:spacing w:line="276" w:lineRule="auto"/>
    </w:pPr>
    <w:rPr>
      <w:rFonts w:ascii="Arial" w:eastAsia="Arial" w:hAnsi="Arial" w:cs="Arial"/>
      <w:lang w:val="de-DE" w:eastAsia="de-DE"/>
    </w:rPr>
  </w:style>
  <w:style w:type="paragraph" w:styleId="berschrift1">
    <w:name w:val="heading 1"/>
    <w:basedOn w:val="Standard"/>
    <w:next w:val="Standard"/>
    <w:link w:val="berschrift1Zchn"/>
    <w:qFormat/>
    <w:rsid w:val="00A21F93"/>
    <w:pPr>
      <w:numPr>
        <w:numId w:val="1"/>
      </w:numPr>
      <w:spacing w:before="240" w:after="240" w:line="240" w:lineRule="auto"/>
      <w:jc w:val="both"/>
      <w:outlineLvl w:val="0"/>
    </w:pPr>
    <w:rPr>
      <w:rFonts w:ascii="Calibri" w:eastAsia="Century Gothic" w:hAnsi="Calibri" w:cs="Century Gothic"/>
      <w:b/>
      <w:color w:val="1F4E79" w:themeColor="accent1" w:themeShade="80"/>
      <w:sz w:val="32"/>
      <w:szCs w:val="28"/>
      <w:u w:val="single"/>
      <w:lang w:val="en-GB" w:eastAsia="en-GB"/>
    </w:rPr>
  </w:style>
  <w:style w:type="paragraph" w:styleId="berschrift2">
    <w:name w:val="heading 2"/>
    <w:basedOn w:val="Standard"/>
    <w:next w:val="Standard"/>
    <w:link w:val="berschrift2Zchn"/>
    <w:uiPriority w:val="9"/>
    <w:unhideWhenUsed/>
    <w:qFormat/>
    <w:rsid w:val="00A21F93"/>
    <w:pPr>
      <w:spacing w:before="120" w:after="120" w:line="240" w:lineRule="auto"/>
      <w:outlineLvl w:val="1"/>
    </w:pPr>
    <w:rPr>
      <w:rFonts w:ascii="Calibri" w:eastAsia="Century Gothic" w:hAnsi="Calibri" w:cs="Century Gothic"/>
      <w:b/>
      <w:color w:val="2F5496" w:themeColor="accent5" w:themeShade="BF"/>
      <w:sz w:val="32"/>
      <w:lang w:val="en-GB" w:eastAsia="en-GB"/>
    </w:rPr>
  </w:style>
  <w:style w:type="paragraph" w:styleId="berschrift3">
    <w:name w:val="heading 3"/>
    <w:basedOn w:val="Standard"/>
    <w:next w:val="Standard"/>
    <w:link w:val="berschrift3Zchn"/>
    <w:uiPriority w:val="9"/>
    <w:unhideWhenUsed/>
    <w:qFormat/>
    <w:rsid w:val="00A21F93"/>
    <w:pPr>
      <w:spacing w:before="100" w:after="200"/>
      <w:jc w:val="both"/>
      <w:outlineLvl w:val="2"/>
    </w:pPr>
    <w:rPr>
      <w:rFonts w:asciiTheme="minorHAnsi" w:eastAsia="Century Gothic" w:hAnsiTheme="minorHAnsi" w:cs="Century Gothic"/>
      <w:b/>
      <w:color w:val="8EAADB" w:themeColor="accent5" w:themeTint="99"/>
      <w:sz w:val="28"/>
      <w:lang w:val="en-GB" w:eastAsia="en-GB"/>
    </w:rPr>
  </w:style>
  <w:style w:type="paragraph" w:styleId="berschrift4">
    <w:name w:val="heading 4"/>
    <w:basedOn w:val="Standard"/>
    <w:next w:val="Standard"/>
    <w:link w:val="berschrift4Zchn"/>
    <w:uiPriority w:val="9"/>
    <w:unhideWhenUsed/>
    <w:qFormat/>
    <w:rsid w:val="00970BE0"/>
    <w:pPr>
      <w:spacing w:before="100" w:after="200"/>
      <w:jc w:val="both"/>
      <w:outlineLvl w:val="3"/>
    </w:pPr>
    <w:rPr>
      <w:rFonts w:asciiTheme="majorHAnsi" w:eastAsia="Century Gothic" w:hAnsiTheme="majorHAnsi" w:cs="Century Gothic"/>
      <w:b/>
      <w:sz w:val="26"/>
      <w:szCs w:val="20"/>
      <w:u w:val="single"/>
      <w:lang w:val="en-GB" w:eastAsia="en-GB"/>
    </w:rPr>
  </w:style>
  <w:style w:type="paragraph" w:styleId="berschrift5">
    <w:name w:val="heading 5"/>
    <w:basedOn w:val="Standard"/>
    <w:next w:val="Standard"/>
    <w:link w:val="berschrift5Zchn"/>
    <w:uiPriority w:val="9"/>
    <w:unhideWhenUsed/>
    <w:qFormat/>
    <w:rsid w:val="00970BE0"/>
    <w:pPr>
      <w:pBdr>
        <w:bottom w:val="single" w:sz="6" w:space="1" w:color="4472C4"/>
      </w:pBdr>
      <w:spacing w:before="200"/>
      <w:outlineLvl w:val="4"/>
    </w:pPr>
    <w:rPr>
      <w:rFonts w:ascii="Calibri" w:eastAsia="Calibri" w:hAnsi="Calibri" w:cs="Calibri"/>
      <w:smallCaps/>
      <w:color w:val="2F5496"/>
      <w:sz w:val="24"/>
      <w:szCs w:val="20"/>
      <w:lang w:val="en-GB" w:eastAsia="en-GB"/>
    </w:rPr>
  </w:style>
  <w:style w:type="paragraph" w:styleId="berschrift6">
    <w:name w:val="heading 6"/>
    <w:basedOn w:val="Standard"/>
    <w:next w:val="Standard"/>
    <w:link w:val="berschrift6Zchn"/>
    <w:uiPriority w:val="9"/>
    <w:semiHidden/>
    <w:unhideWhenUsed/>
    <w:qFormat/>
    <w:rsid w:val="002D5BE3"/>
    <w:pPr>
      <w:pBdr>
        <w:bottom w:val="dotted" w:sz="6" w:space="1" w:color="4472C4"/>
      </w:pBdr>
      <w:spacing w:before="200"/>
      <w:outlineLvl w:val="5"/>
    </w:pPr>
    <w:rPr>
      <w:rFonts w:ascii="Calibri" w:eastAsia="Calibri" w:hAnsi="Calibri" w:cs="Calibri"/>
      <w:smallCaps/>
      <w:color w:val="2F5496"/>
      <w:sz w:val="20"/>
      <w:szCs w:val="20"/>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qFormat/>
    <w:rsid w:val="00A21F93"/>
    <w:rPr>
      <w:rFonts w:ascii="Calibri" w:eastAsia="Century Gothic" w:hAnsi="Calibri" w:cs="Century Gothic"/>
      <w:b/>
      <w:color w:val="1F4E79" w:themeColor="accent1" w:themeShade="80"/>
      <w:sz w:val="32"/>
      <w:szCs w:val="28"/>
      <w:u w:val="single"/>
      <w:lang w:eastAsia="en-GB"/>
    </w:rPr>
  </w:style>
  <w:style w:type="character" w:customStyle="1" w:styleId="berschrift2Zchn">
    <w:name w:val="Überschrift 2 Zchn"/>
    <w:basedOn w:val="Absatz-Standardschriftart"/>
    <w:link w:val="berschrift2"/>
    <w:uiPriority w:val="9"/>
    <w:qFormat/>
    <w:rsid w:val="00A21F93"/>
    <w:rPr>
      <w:rFonts w:ascii="Calibri" w:eastAsia="Century Gothic" w:hAnsi="Calibri" w:cs="Century Gothic"/>
      <w:b/>
      <w:color w:val="2F5496" w:themeColor="accent5" w:themeShade="BF"/>
      <w:sz w:val="32"/>
      <w:lang w:eastAsia="en-GB"/>
    </w:rPr>
  </w:style>
  <w:style w:type="character" w:customStyle="1" w:styleId="berschrift3Zchn">
    <w:name w:val="Überschrift 3 Zchn"/>
    <w:basedOn w:val="Absatz-Standardschriftart"/>
    <w:link w:val="berschrift3"/>
    <w:uiPriority w:val="9"/>
    <w:qFormat/>
    <w:rsid w:val="00A21F93"/>
    <w:rPr>
      <w:rFonts w:eastAsia="Century Gothic" w:cs="Century Gothic"/>
      <w:b/>
      <w:color w:val="8EAADB" w:themeColor="accent5" w:themeTint="99"/>
      <w:sz w:val="28"/>
      <w:lang w:eastAsia="en-GB"/>
    </w:rPr>
  </w:style>
  <w:style w:type="character" w:customStyle="1" w:styleId="berschrift4Zchn">
    <w:name w:val="Überschrift 4 Zchn"/>
    <w:basedOn w:val="Absatz-Standardschriftart"/>
    <w:link w:val="berschrift4"/>
    <w:uiPriority w:val="9"/>
    <w:qFormat/>
    <w:rsid w:val="00970BE0"/>
    <w:rPr>
      <w:rFonts w:asciiTheme="majorHAnsi" w:eastAsia="Century Gothic" w:hAnsiTheme="majorHAnsi" w:cs="Century Gothic"/>
      <w:b/>
      <w:sz w:val="26"/>
      <w:szCs w:val="20"/>
      <w:u w:val="single"/>
      <w:lang w:eastAsia="en-GB"/>
    </w:rPr>
  </w:style>
  <w:style w:type="character" w:customStyle="1" w:styleId="berschrift5Zchn">
    <w:name w:val="Überschrift 5 Zchn"/>
    <w:basedOn w:val="Absatz-Standardschriftart"/>
    <w:link w:val="berschrift5"/>
    <w:uiPriority w:val="9"/>
    <w:qFormat/>
    <w:rsid w:val="00970BE0"/>
    <w:rPr>
      <w:rFonts w:ascii="Calibri" w:eastAsia="Calibri" w:hAnsi="Calibri" w:cs="Calibri"/>
      <w:smallCaps/>
      <w:color w:val="2F5496"/>
      <w:sz w:val="24"/>
      <w:szCs w:val="20"/>
      <w:lang w:eastAsia="en-GB"/>
    </w:rPr>
  </w:style>
  <w:style w:type="character" w:customStyle="1" w:styleId="berschrift6Zchn">
    <w:name w:val="Überschrift 6 Zchn"/>
    <w:basedOn w:val="Absatz-Standardschriftart"/>
    <w:link w:val="berschrift6"/>
    <w:uiPriority w:val="9"/>
    <w:semiHidden/>
    <w:qFormat/>
    <w:rsid w:val="002D5BE3"/>
    <w:rPr>
      <w:rFonts w:ascii="Calibri" w:eastAsia="Calibri" w:hAnsi="Calibri" w:cs="Calibri"/>
      <w:smallCaps/>
      <w:color w:val="2F5496"/>
      <w:sz w:val="20"/>
      <w:szCs w:val="20"/>
      <w:lang w:eastAsia="en-GB"/>
    </w:rPr>
  </w:style>
  <w:style w:type="character" w:customStyle="1" w:styleId="TitelZchn">
    <w:name w:val="Titel Zchn"/>
    <w:basedOn w:val="Absatz-Standardschriftart"/>
    <w:link w:val="Titel"/>
    <w:uiPriority w:val="10"/>
    <w:qFormat/>
    <w:rsid w:val="002D5BE3"/>
    <w:rPr>
      <w:rFonts w:ascii="Calibri" w:eastAsia="Calibri" w:hAnsi="Calibri" w:cs="Calibri"/>
      <w:smallCaps/>
      <w:color w:val="4472C4"/>
      <w:sz w:val="52"/>
      <w:szCs w:val="52"/>
      <w:lang w:eastAsia="en-GB"/>
    </w:rPr>
  </w:style>
  <w:style w:type="character" w:customStyle="1" w:styleId="UntertitelZchn">
    <w:name w:val="Untertitel Zchn"/>
    <w:basedOn w:val="Absatz-Standardschriftart"/>
    <w:link w:val="Untertitel"/>
    <w:uiPriority w:val="11"/>
    <w:qFormat/>
    <w:rsid w:val="002D5BE3"/>
    <w:rPr>
      <w:rFonts w:ascii="Calibri" w:eastAsia="Calibri" w:hAnsi="Calibri" w:cs="Calibri"/>
      <w:smallCaps/>
      <w:color w:val="595959"/>
      <w:sz w:val="21"/>
      <w:szCs w:val="21"/>
      <w:lang w:eastAsia="en-GB"/>
    </w:rPr>
  </w:style>
  <w:style w:type="character" w:customStyle="1" w:styleId="Internetverknpfung">
    <w:name w:val="Internetverknüpfung"/>
    <w:basedOn w:val="Absatz-Standardschriftart"/>
    <w:uiPriority w:val="99"/>
    <w:unhideWhenUsed/>
    <w:rsid w:val="002D5BE3"/>
    <w:rPr>
      <w:color w:val="0563C1" w:themeColor="hyperlink"/>
      <w:u w:val="single"/>
    </w:rPr>
  </w:style>
  <w:style w:type="character" w:customStyle="1" w:styleId="KopfzeileZchn">
    <w:name w:val="Kopfzeile Zchn"/>
    <w:basedOn w:val="Absatz-Standardschriftart"/>
    <w:link w:val="Kopfzeile"/>
    <w:uiPriority w:val="99"/>
    <w:qFormat/>
    <w:rsid w:val="002D5BE3"/>
    <w:rPr>
      <w:rFonts w:ascii="Calibri" w:eastAsia="Calibri" w:hAnsi="Calibri" w:cs="Calibri"/>
      <w:sz w:val="20"/>
      <w:szCs w:val="20"/>
      <w:lang w:eastAsia="en-GB"/>
    </w:rPr>
  </w:style>
  <w:style w:type="character" w:customStyle="1" w:styleId="FuzeileZchn">
    <w:name w:val="Fußzeile Zchn"/>
    <w:basedOn w:val="Absatz-Standardschriftart"/>
    <w:link w:val="Fuzeile"/>
    <w:uiPriority w:val="99"/>
    <w:qFormat/>
    <w:rsid w:val="002D5BE3"/>
    <w:rPr>
      <w:rFonts w:ascii="Calibri" w:eastAsia="Calibri" w:hAnsi="Calibri" w:cs="Calibri"/>
      <w:sz w:val="20"/>
      <w:szCs w:val="20"/>
      <w:lang w:eastAsia="en-GB"/>
    </w:rPr>
  </w:style>
  <w:style w:type="character" w:customStyle="1" w:styleId="SprechblasentextZchn">
    <w:name w:val="Sprechblasentext Zchn"/>
    <w:basedOn w:val="Absatz-Standardschriftart"/>
    <w:link w:val="Sprechblasentext"/>
    <w:uiPriority w:val="99"/>
    <w:semiHidden/>
    <w:qFormat/>
    <w:rsid w:val="002D5BE3"/>
    <w:rPr>
      <w:rFonts w:ascii="Segoe UI" w:eastAsia="Calibri" w:hAnsi="Segoe UI" w:cs="Segoe UI"/>
      <w:sz w:val="18"/>
      <w:szCs w:val="18"/>
      <w:lang w:eastAsia="en-GB"/>
    </w:rPr>
  </w:style>
  <w:style w:type="character" w:customStyle="1" w:styleId="KommentartextZchn">
    <w:name w:val="Kommentartext Zchn"/>
    <w:basedOn w:val="Absatz-Standardschriftart"/>
    <w:link w:val="Kommentartext"/>
    <w:uiPriority w:val="99"/>
    <w:qFormat/>
    <w:rsid w:val="002D5BE3"/>
    <w:rPr>
      <w:rFonts w:ascii="Calibri" w:eastAsia="Calibri" w:hAnsi="Calibri" w:cs="Calibri"/>
      <w:sz w:val="20"/>
      <w:szCs w:val="20"/>
      <w:lang w:eastAsia="en-GB"/>
    </w:rPr>
  </w:style>
  <w:style w:type="character" w:customStyle="1" w:styleId="KommentarthemaZchn">
    <w:name w:val="Kommentarthema Zchn"/>
    <w:basedOn w:val="KommentartextZchn"/>
    <w:link w:val="Kommentarthema"/>
    <w:uiPriority w:val="99"/>
    <w:semiHidden/>
    <w:qFormat/>
    <w:rsid w:val="002D5BE3"/>
    <w:rPr>
      <w:rFonts w:ascii="Calibri" w:eastAsia="Calibri" w:hAnsi="Calibri" w:cs="Calibri"/>
      <w:b/>
      <w:bCs/>
      <w:sz w:val="20"/>
      <w:szCs w:val="20"/>
      <w:lang w:eastAsia="en-GB"/>
    </w:rPr>
  </w:style>
  <w:style w:type="character" w:customStyle="1" w:styleId="Absatz-Standardschriftart1">
    <w:name w:val="Absatz-Standardschriftart1"/>
    <w:qFormat/>
    <w:rsid w:val="002D5BE3"/>
  </w:style>
  <w:style w:type="character" w:styleId="Fett">
    <w:name w:val="Strong"/>
    <w:qFormat/>
    <w:rsid w:val="002D5BE3"/>
    <w:rPr>
      <w:b/>
      <w:bCs/>
    </w:rPr>
  </w:style>
  <w:style w:type="character" w:customStyle="1" w:styleId="Kommentarzeichen1">
    <w:name w:val="Kommentarzeichen1"/>
    <w:qFormat/>
    <w:rsid w:val="002D5BE3"/>
    <w:rPr>
      <w:sz w:val="16"/>
      <w:szCs w:val="16"/>
    </w:rPr>
  </w:style>
  <w:style w:type="character" w:customStyle="1" w:styleId="TestocommentoCarattere">
    <w:name w:val="Testo commento Carattere"/>
    <w:qFormat/>
    <w:rsid w:val="002D5BE3"/>
    <w:rPr>
      <w:sz w:val="20"/>
      <w:szCs w:val="20"/>
      <w:lang w:val="de-DE"/>
    </w:rPr>
  </w:style>
  <w:style w:type="character" w:customStyle="1" w:styleId="TestofumettoCarattere">
    <w:name w:val="Testo fumetto Carattere"/>
    <w:qFormat/>
    <w:rsid w:val="002D5BE3"/>
    <w:rPr>
      <w:rFonts w:ascii="Tahoma" w:hAnsi="Tahoma" w:cs="Tahoma"/>
      <w:sz w:val="16"/>
      <w:szCs w:val="16"/>
      <w:lang w:val="de-DE"/>
    </w:rPr>
  </w:style>
  <w:style w:type="character" w:customStyle="1" w:styleId="BesuchterLink1">
    <w:name w:val="BesuchterLink1"/>
    <w:qFormat/>
    <w:rsid w:val="002D5BE3"/>
    <w:rPr>
      <w:color w:val="954F72"/>
      <w:u w:val="single"/>
    </w:rPr>
  </w:style>
  <w:style w:type="character" w:customStyle="1" w:styleId="SoggettocommentoCarattere">
    <w:name w:val="Soggetto commento Carattere"/>
    <w:qFormat/>
    <w:rsid w:val="002D5BE3"/>
    <w:rPr>
      <w:b/>
      <w:bCs/>
      <w:sz w:val="20"/>
      <w:szCs w:val="20"/>
      <w:lang w:val="de-DE"/>
    </w:rPr>
  </w:style>
  <w:style w:type="character" w:customStyle="1" w:styleId="Titolo1Carattere">
    <w:name w:val="Titolo 1 Carattere"/>
    <w:qFormat/>
    <w:rsid w:val="002D5BE3"/>
    <w:rPr>
      <w:rFonts w:ascii="Times New Roman" w:eastAsia="Times New Roman" w:hAnsi="Times New Roman" w:cs="Times New Roman"/>
      <w:b/>
      <w:bCs/>
      <w:kern w:val="2"/>
      <w:sz w:val="48"/>
      <w:szCs w:val="48"/>
    </w:rPr>
  </w:style>
  <w:style w:type="character" w:customStyle="1" w:styleId="Nummerierungszeichen">
    <w:name w:val="Nummerierungszeichen"/>
    <w:qFormat/>
    <w:rsid w:val="002D5BE3"/>
  </w:style>
  <w:style w:type="character" w:customStyle="1" w:styleId="Aufzhlungszeichen1">
    <w:name w:val="Aufzählungszeichen1"/>
    <w:qFormat/>
    <w:rsid w:val="002D5BE3"/>
    <w:rPr>
      <w:rFonts w:ascii="OpenSymbol" w:eastAsia="OpenSymbol" w:hAnsi="OpenSymbol" w:cs="OpenSymbol"/>
    </w:rPr>
  </w:style>
  <w:style w:type="character" w:customStyle="1" w:styleId="TextkrperZchn">
    <w:name w:val="Textkörper Zchn"/>
    <w:basedOn w:val="Absatz-Standardschriftart"/>
    <w:link w:val="Textkrper"/>
    <w:qFormat/>
    <w:rsid w:val="002D5BE3"/>
    <w:rPr>
      <w:rFonts w:ascii="Times New Roman" w:eastAsia="SimSun" w:hAnsi="Times New Roman" w:cs="Mangal"/>
      <w:kern w:val="2"/>
      <w:sz w:val="24"/>
      <w:szCs w:val="24"/>
      <w:lang w:eastAsia="hi-IN" w:bidi="hi-IN"/>
    </w:rPr>
  </w:style>
  <w:style w:type="character" w:styleId="Kommentarzeichen">
    <w:name w:val="annotation reference"/>
    <w:basedOn w:val="Absatz-Standardschriftart"/>
    <w:uiPriority w:val="99"/>
    <w:semiHidden/>
    <w:unhideWhenUsed/>
    <w:qFormat/>
    <w:rsid w:val="00A50DC3"/>
    <w:rPr>
      <w:sz w:val="16"/>
      <w:szCs w:val="16"/>
    </w:rPr>
  </w:style>
  <w:style w:type="character" w:customStyle="1" w:styleId="BesuchteInternetverknpfung">
    <w:name w:val="Besuchte Internetverknüpfung"/>
    <w:basedOn w:val="Absatz-Standardschriftart"/>
    <w:uiPriority w:val="99"/>
    <w:semiHidden/>
    <w:unhideWhenUsed/>
    <w:rsid w:val="001310E9"/>
    <w:rPr>
      <w:color w:val="954F72" w:themeColor="followedHyperlink"/>
      <w:u w:val="single"/>
    </w:rPr>
  </w:style>
  <w:style w:type="character" w:customStyle="1" w:styleId="Verzeichnissprung">
    <w:name w:val="Verzeichnissprung"/>
    <w:qFormat/>
  </w:style>
  <w:style w:type="paragraph" w:customStyle="1" w:styleId="berschrift">
    <w:name w:val="Überschrift"/>
    <w:basedOn w:val="Standard"/>
    <w:next w:val="Textkrper"/>
    <w:qFormat/>
    <w:rsid w:val="002D5BE3"/>
    <w:pPr>
      <w:keepNext/>
      <w:spacing w:before="240" w:after="120" w:line="240" w:lineRule="auto"/>
    </w:pPr>
    <w:rPr>
      <w:rFonts w:eastAsia="Microsoft YaHei" w:cs="Mangal"/>
      <w:kern w:val="2"/>
      <w:sz w:val="28"/>
      <w:szCs w:val="28"/>
      <w:lang w:val="en-GB" w:eastAsia="hi-IN" w:bidi="hi-IN"/>
    </w:rPr>
  </w:style>
  <w:style w:type="paragraph" w:styleId="Textkrper">
    <w:name w:val="Body Text"/>
    <w:basedOn w:val="Standard"/>
    <w:link w:val="TextkrperZchn"/>
    <w:rsid w:val="002D5BE3"/>
    <w:pPr>
      <w:spacing w:after="120" w:line="240" w:lineRule="auto"/>
    </w:pPr>
    <w:rPr>
      <w:rFonts w:ascii="Times New Roman" w:eastAsia="SimSun" w:hAnsi="Times New Roman" w:cs="Mangal"/>
      <w:kern w:val="2"/>
      <w:sz w:val="24"/>
      <w:szCs w:val="24"/>
      <w:lang w:val="en-GB" w:eastAsia="hi-IN" w:bidi="hi-IN"/>
    </w:rPr>
  </w:style>
  <w:style w:type="paragraph" w:styleId="Liste">
    <w:name w:val="List"/>
    <w:basedOn w:val="Textkrper"/>
    <w:rsid w:val="002D5BE3"/>
  </w:style>
  <w:style w:type="paragraph" w:styleId="Beschriftung">
    <w:name w:val="caption"/>
    <w:basedOn w:val="Standard"/>
    <w:next w:val="Standard"/>
    <w:uiPriority w:val="35"/>
    <w:unhideWhenUsed/>
    <w:qFormat/>
    <w:rsid w:val="002D5BE3"/>
    <w:pPr>
      <w:spacing w:after="200" w:line="240" w:lineRule="auto"/>
    </w:pPr>
    <w:rPr>
      <w:rFonts w:ascii="Calibri" w:eastAsia="Calibri" w:hAnsi="Calibri" w:cs="Calibri"/>
      <w:i/>
      <w:iCs/>
      <w:color w:val="44546A" w:themeColor="text2"/>
      <w:sz w:val="18"/>
      <w:szCs w:val="18"/>
      <w:lang w:val="en-GB" w:eastAsia="en-GB"/>
    </w:rPr>
  </w:style>
  <w:style w:type="paragraph" w:customStyle="1" w:styleId="Verzeichnis">
    <w:name w:val="Verzeichnis"/>
    <w:basedOn w:val="Standard"/>
    <w:qFormat/>
    <w:rsid w:val="002D5BE3"/>
    <w:pPr>
      <w:suppressLineNumbers/>
      <w:spacing w:line="240" w:lineRule="auto"/>
    </w:pPr>
    <w:rPr>
      <w:rFonts w:ascii="Times New Roman" w:eastAsia="SimSun" w:hAnsi="Times New Roman" w:cs="Mangal"/>
      <w:kern w:val="2"/>
      <w:sz w:val="24"/>
      <w:szCs w:val="24"/>
      <w:lang w:val="en-GB" w:eastAsia="hi-IN" w:bidi="hi-IN"/>
    </w:rPr>
  </w:style>
  <w:style w:type="paragraph" w:styleId="Titel">
    <w:name w:val="Title"/>
    <w:basedOn w:val="Standard"/>
    <w:next w:val="Standard"/>
    <w:link w:val="TitelZchn"/>
    <w:uiPriority w:val="10"/>
    <w:qFormat/>
    <w:rsid w:val="002D5BE3"/>
    <w:rPr>
      <w:rFonts w:ascii="Calibri" w:eastAsia="Calibri" w:hAnsi="Calibri" w:cs="Calibri"/>
      <w:smallCaps/>
      <w:color w:val="4472C4"/>
      <w:sz w:val="52"/>
      <w:szCs w:val="52"/>
      <w:lang w:val="en-GB" w:eastAsia="en-GB"/>
    </w:rPr>
  </w:style>
  <w:style w:type="paragraph" w:styleId="Untertitel">
    <w:name w:val="Subtitle"/>
    <w:basedOn w:val="Standard"/>
    <w:next w:val="Standard"/>
    <w:link w:val="UntertitelZchn"/>
    <w:uiPriority w:val="11"/>
    <w:qFormat/>
    <w:rsid w:val="002D5BE3"/>
    <w:pPr>
      <w:spacing w:after="500" w:line="240" w:lineRule="auto"/>
    </w:pPr>
    <w:rPr>
      <w:rFonts w:ascii="Calibri" w:eastAsia="Calibri" w:hAnsi="Calibri" w:cs="Calibri"/>
      <w:smallCaps/>
      <w:color w:val="595959"/>
      <w:sz w:val="21"/>
      <w:szCs w:val="21"/>
      <w:lang w:val="en-GB" w:eastAsia="en-GB"/>
    </w:rPr>
  </w:style>
  <w:style w:type="paragraph" w:styleId="Verzeichnis1">
    <w:name w:val="toc 1"/>
    <w:basedOn w:val="Standard"/>
    <w:next w:val="Standard"/>
    <w:autoRedefine/>
    <w:uiPriority w:val="39"/>
    <w:unhideWhenUsed/>
    <w:rsid w:val="002A20D5"/>
    <w:pPr>
      <w:tabs>
        <w:tab w:val="left" w:pos="400"/>
        <w:tab w:val="right" w:leader="dot" w:pos="8637"/>
      </w:tabs>
      <w:spacing w:before="120" w:after="120" w:line="240" w:lineRule="auto"/>
      <w:ind w:left="426" w:hanging="426"/>
    </w:pPr>
    <w:rPr>
      <w:rFonts w:ascii="Calibri" w:eastAsia="Calibri" w:hAnsi="Calibri" w:cs="Calibri"/>
      <w:b/>
      <w:sz w:val="24"/>
      <w:szCs w:val="20"/>
      <w:lang w:val="en-GB" w:eastAsia="en-GB"/>
    </w:rPr>
  </w:style>
  <w:style w:type="paragraph" w:styleId="Verzeichnis2">
    <w:name w:val="toc 2"/>
    <w:basedOn w:val="Standard"/>
    <w:next w:val="Standard"/>
    <w:autoRedefine/>
    <w:uiPriority w:val="39"/>
    <w:unhideWhenUsed/>
    <w:rsid w:val="0024037C"/>
    <w:pPr>
      <w:tabs>
        <w:tab w:val="right" w:leader="dot" w:pos="9628"/>
      </w:tabs>
      <w:spacing w:before="100" w:after="100"/>
      <w:ind w:left="720"/>
    </w:pPr>
    <w:rPr>
      <w:rFonts w:ascii="Calibri" w:eastAsia="Calibri" w:hAnsi="Calibri" w:cs="Calibri"/>
      <w:sz w:val="20"/>
      <w:szCs w:val="20"/>
      <w:lang w:val="en-GB" w:eastAsia="en-GB"/>
    </w:rPr>
  </w:style>
  <w:style w:type="paragraph" w:styleId="Verzeichnis3">
    <w:name w:val="toc 3"/>
    <w:basedOn w:val="Standard"/>
    <w:next w:val="Standard"/>
    <w:autoRedefine/>
    <w:uiPriority w:val="39"/>
    <w:unhideWhenUsed/>
    <w:rsid w:val="00406614"/>
    <w:pPr>
      <w:tabs>
        <w:tab w:val="right" w:leader="dot" w:pos="9628"/>
      </w:tabs>
      <w:spacing w:before="100" w:after="100"/>
      <w:ind w:left="851"/>
    </w:pPr>
    <w:rPr>
      <w:rFonts w:ascii="Calibri" w:eastAsia="Calibri" w:hAnsi="Calibri" w:cs="Calibri"/>
      <w:sz w:val="20"/>
      <w:szCs w:val="20"/>
      <w:lang w:val="en-GB" w:eastAsia="en-GB"/>
    </w:rPr>
  </w:style>
  <w:style w:type="paragraph" w:styleId="Indexberschrift">
    <w:name w:val="index heading"/>
    <w:basedOn w:val="berschrift"/>
  </w:style>
  <w:style w:type="paragraph" w:styleId="Inhaltsverzeichnisberschrift">
    <w:name w:val="TOC Heading"/>
    <w:basedOn w:val="berschrift1"/>
    <w:next w:val="Standard"/>
    <w:uiPriority w:val="39"/>
    <w:unhideWhenUsed/>
    <w:qFormat/>
    <w:rsid w:val="002D5BE3"/>
    <w:pPr>
      <w:keepNext/>
      <w:keepLines/>
      <w:numPr>
        <w:numId w:val="0"/>
      </w:numPr>
      <w:spacing w:line="259" w:lineRule="auto"/>
      <w:jc w:val="left"/>
      <w:outlineLvl w:val="9"/>
    </w:pPr>
    <w:rPr>
      <w:rFonts w:asciiTheme="majorHAnsi" w:eastAsiaTheme="majorEastAsia" w:hAnsiTheme="majorHAnsi" w:cstheme="majorBidi"/>
      <w:color w:val="2E74B5" w:themeColor="accent1" w:themeShade="BF"/>
      <w:szCs w:val="32"/>
      <w:lang w:val="en-US" w:eastAsia="en-U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2D5BE3"/>
    <w:pPr>
      <w:tabs>
        <w:tab w:val="center" w:pos="4513"/>
        <w:tab w:val="right" w:pos="9026"/>
      </w:tabs>
      <w:spacing w:line="240" w:lineRule="auto"/>
    </w:pPr>
    <w:rPr>
      <w:rFonts w:ascii="Calibri" w:eastAsia="Calibri" w:hAnsi="Calibri" w:cs="Calibri"/>
      <w:sz w:val="20"/>
      <w:szCs w:val="20"/>
      <w:lang w:val="en-GB" w:eastAsia="en-GB"/>
    </w:rPr>
  </w:style>
  <w:style w:type="paragraph" w:styleId="Fuzeile">
    <w:name w:val="footer"/>
    <w:basedOn w:val="Standard"/>
    <w:link w:val="FuzeileZchn"/>
    <w:uiPriority w:val="99"/>
    <w:unhideWhenUsed/>
    <w:rsid w:val="002D5BE3"/>
    <w:pPr>
      <w:tabs>
        <w:tab w:val="center" w:pos="4513"/>
        <w:tab w:val="right" w:pos="9026"/>
      </w:tabs>
      <w:spacing w:line="240" w:lineRule="auto"/>
    </w:pPr>
    <w:rPr>
      <w:rFonts w:ascii="Calibri" w:eastAsia="Calibri" w:hAnsi="Calibri" w:cs="Calibri"/>
      <w:sz w:val="20"/>
      <w:szCs w:val="20"/>
      <w:lang w:val="en-GB" w:eastAsia="en-GB"/>
    </w:rPr>
  </w:style>
  <w:style w:type="paragraph" w:styleId="Listenabsatz">
    <w:name w:val="List Paragraph"/>
    <w:basedOn w:val="Standard"/>
    <w:uiPriority w:val="34"/>
    <w:qFormat/>
    <w:rsid w:val="002D5BE3"/>
    <w:pPr>
      <w:spacing w:before="100" w:after="200"/>
      <w:ind w:left="720"/>
      <w:contextualSpacing/>
    </w:pPr>
    <w:rPr>
      <w:rFonts w:ascii="Calibri" w:eastAsia="Calibri" w:hAnsi="Calibri" w:cs="Calibri"/>
      <w:sz w:val="20"/>
      <w:szCs w:val="20"/>
      <w:lang w:val="en-GB" w:eastAsia="en-GB"/>
    </w:rPr>
  </w:style>
  <w:style w:type="paragraph" w:styleId="Abbildungsverzeichnis">
    <w:name w:val="table of figures"/>
    <w:basedOn w:val="Standard"/>
    <w:next w:val="Standard"/>
    <w:uiPriority w:val="99"/>
    <w:unhideWhenUsed/>
    <w:qFormat/>
    <w:rsid w:val="002D5BE3"/>
    <w:pPr>
      <w:spacing w:before="100"/>
    </w:pPr>
    <w:rPr>
      <w:rFonts w:ascii="Century Gothic" w:eastAsia="Calibri" w:hAnsi="Century Gothic" w:cs="Calibri"/>
      <w:sz w:val="20"/>
      <w:szCs w:val="20"/>
      <w:lang w:val="en-GB" w:eastAsia="en-GB"/>
    </w:rPr>
  </w:style>
  <w:style w:type="paragraph" w:styleId="Sprechblasentext">
    <w:name w:val="Balloon Text"/>
    <w:basedOn w:val="Standard"/>
    <w:link w:val="SprechblasentextZchn"/>
    <w:uiPriority w:val="99"/>
    <w:semiHidden/>
    <w:unhideWhenUsed/>
    <w:qFormat/>
    <w:rsid w:val="002D5BE3"/>
    <w:pPr>
      <w:spacing w:line="240" w:lineRule="auto"/>
    </w:pPr>
    <w:rPr>
      <w:rFonts w:ascii="Segoe UI" w:eastAsia="Calibri" w:hAnsi="Segoe UI" w:cs="Segoe UI"/>
      <w:sz w:val="18"/>
      <w:szCs w:val="18"/>
      <w:lang w:val="en-GB" w:eastAsia="en-GB"/>
    </w:rPr>
  </w:style>
  <w:style w:type="paragraph" w:styleId="Kommentartext">
    <w:name w:val="annotation text"/>
    <w:basedOn w:val="Standard"/>
    <w:link w:val="KommentartextZchn"/>
    <w:uiPriority w:val="99"/>
    <w:unhideWhenUsed/>
    <w:qFormat/>
    <w:rsid w:val="002D5BE3"/>
    <w:pPr>
      <w:spacing w:before="100" w:after="200" w:line="240" w:lineRule="auto"/>
    </w:pPr>
    <w:rPr>
      <w:rFonts w:ascii="Calibri" w:eastAsia="Calibri" w:hAnsi="Calibri" w:cs="Calibri"/>
      <w:sz w:val="20"/>
      <w:szCs w:val="20"/>
      <w:lang w:val="en-GB" w:eastAsia="en-GB"/>
    </w:rPr>
  </w:style>
  <w:style w:type="paragraph" w:styleId="Kommentarthema">
    <w:name w:val="annotation subject"/>
    <w:basedOn w:val="Kommentartext"/>
    <w:next w:val="Kommentartext"/>
    <w:link w:val="KommentarthemaZchn"/>
    <w:uiPriority w:val="99"/>
    <w:semiHidden/>
    <w:unhideWhenUsed/>
    <w:qFormat/>
    <w:rsid w:val="002D5BE3"/>
    <w:rPr>
      <w:b/>
      <w:bCs/>
    </w:rPr>
  </w:style>
  <w:style w:type="paragraph" w:styleId="KeinLeerraum">
    <w:name w:val="No Spacing"/>
    <w:uiPriority w:val="1"/>
    <w:qFormat/>
    <w:rsid w:val="002D5BE3"/>
    <w:rPr>
      <w:rFonts w:cs="Calibri"/>
      <w:sz w:val="20"/>
      <w:szCs w:val="20"/>
      <w:lang w:eastAsia="en-GB"/>
    </w:rPr>
  </w:style>
  <w:style w:type="paragraph" w:customStyle="1" w:styleId="Beschriftung1">
    <w:name w:val="Beschriftung1"/>
    <w:basedOn w:val="Standard"/>
    <w:qFormat/>
    <w:rsid w:val="002D5BE3"/>
    <w:pPr>
      <w:suppressLineNumbers/>
      <w:spacing w:before="120" w:after="120" w:line="240" w:lineRule="auto"/>
    </w:pPr>
    <w:rPr>
      <w:rFonts w:ascii="Times New Roman" w:eastAsia="SimSun" w:hAnsi="Times New Roman" w:cs="Mangal"/>
      <w:i/>
      <w:iCs/>
      <w:kern w:val="2"/>
      <w:sz w:val="24"/>
      <w:szCs w:val="24"/>
      <w:lang w:val="en-GB" w:eastAsia="hi-IN" w:bidi="hi-IN"/>
    </w:rPr>
  </w:style>
  <w:style w:type="paragraph" w:customStyle="1" w:styleId="Kommentartext1">
    <w:name w:val="Kommentartext1"/>
    <w:basedOn w:val="Standard"/>
    <w:qFormat/>
    <w:rsid w:val="002D5BE3"/>
    <w:pPr>
      <w:spacing w:line="100" w:lineRule="atLeast"/>
    </w:pPr>
    <w:rPr>
      <w:rFonts w:ascii="Times New Roman" w:eastAsia="SimSun" w:hAnsi="Times New Roman" w:cs="Mangal"/>
      <w:kern w:val="2"/>
      <w:sz w:val="20"/>
      <w:szCs w:val="20"/>
      <w:lang w:val="en-GB" w:eastAsia="hi-IN" w:bidi="hi-IN"/>
    </w:rPr>
  </w:style>
  <w:style w:type="paragraph" w:customStyle="1" w:styleId="Default">
    <w:name w:val="Default"/>
    <w:qFormat/>
    <w:rsid w:val="002D5BE3"/>
    <w:pPr>
      <w:spacing w:line="100" w:lineRule="atLeast"/>
    </w:pPr>
    <w:rPr>
      <w:rFonts w:ascii="Calibri" w:eastAsia="SimSun" w:hAnsi="Calibri" w:cs="Calibri"/>
      <w:color w:val="000000"/>
      <w:kern w:val="2"/>
      <w:sz w:val="24"/>
      <w:szCs w:val="24"/>
      <w:lang w:eastAsia="hi-IN" w:bidi="hi-IN"/>
    </w:rPr>
  </w:style>
  <w:style w:type="paragraph" w:customStyle="1" w:styleId="Sprechblasentext1">
    <w:name w:val="Sprechblasentext1"/>
    <w:basedOn w:val="Standard"/>
    <w:qFormat/>
    <w:rsid w:val="002D5BE3"/>
    <w:pPr>
      <w:spacing w:line="100" w:lineRule="atLeast"/>
    </w:pPr>
    <w:rPr>
      <w:rFonts w:ascii="Tahoma" w:eastAsia="SimSun" w:hAnsi="Tahoma" w:cs="Tahoma"/>
      <w:kern w:val="2"/>
      <w:sz w:val="16"/>
      <w:szCs w:val="16"/>
      <w:lang w:val="en-GB" w:eastAsia="hi-IN" w:bidi="hi-IN"/>
    </w:rPr>
  </w:style>
  <w:style w:type="paragraph" w:customStyle="1" w:styleId="Kommentarthema1">
    <w:name w:val="Kommentarthema1"/>
    <w:basedOn w:val="Kommentartext1"/>
    <w:qFormat/>
    <w:rsid w:val="002D5BE3"/>
    <w:rPr>
      <w:b/>
      <w:bCs/>
    </w:rPr>
  </w:style>
  <w:style w:type="paragraph" w:customStyle="1" w:styleId="TabellenInhalt">
    <w:name w:val="Tabellen Inhalt"/>
    <w:basedOn w:val="Standard"/>
    <w:qFormat/>
    <w:rsid w:val="002D5BE3"/>
    <w:pPr>
      <w:suppressLineNumbers/>
      <w:spacing w:line="240" w:lineRule="auto"/>
    </w:pPr>
    <w:rPr>
      <w:rFonts w:ascii="Times New Roman" w:eastAsia="SimSun" w:hAnsi="Times New Roman" w:cs="Mangal"/>
      <w:kern w:val="2"/>
      <w:sz w:val="24"/>
      <w:szCs w:val="24"/>
      <w:lang w:val="en-GB" w:eastAsia="hi-IN" w:bidi="hi-IN"/>
    </w:rPr>
  </w:style>
  <w:style w:type="paragraph" w:customStyle="1" w:styleId="Tabellenberschrift">
    <w:name w:val="Tabellen Überschrift"/>
    <w:basedOn w:val="TabellenInhalt"/>
    <w:qFormat/>
    <w:rsid w:val="002D5BE3"/>
    <w:pPr>
      <w:jc w:val="center"/>
    </w:pPr>
    <w:rPr>
      <w:b/>
      <w:bCs/>
    </w:rPr>
  </w:style>
  <w:style w:type="paragraph" w:customStyle="1" w:styleId="StandardB">
    <w:name w:val="Standard B"/>
    <w:basedOn w:val="Standard"/>
    <w:qFormat/>
    <w:rsid w:val="002D5BE3"/>
    <w:pPr>
      <w:spacing w:before="100" w:after="200"/>
      <w:jc w:val="both"/>
    </w:pPr>
    <w:rPr>
      <w:rFonts w:ascii="Calibri" w:eastAsia="Calibri" w:hAnsi="Calibri" w:cs="Calibri"/>
      <w:szCs w:val="24"/>
      <w:lang w:val="en-GB" w:eastAsia="en-GB"/>
    </w:rPr>
  </w:style>
  <w:style w:type="paragraph" w:styleId="StandardWeb">
    <w:name w:val="Normal (Web)"/>
    <w:basedOn w:val="Standard"/>
    <w:uiPriority w:val="99"/>
    <w:unhideWhenUsed/>
    <w:qFormat/>
    <w:rsid w:val="00A501B3"/>
    <w:pPr>
      <w:spacing w:beforeAutospacing="1" w:afterAutospacing="1" w:line="240" w:lineRule="auto"/>
    </w:pPr>
    <w:rPr>
      <w:rFonts w:ascii="Times New Roman" w:eastAsia="Times New Roman" w:hAnsi="Times New Roman" w:cs="Times New Roman"/>
      <w:sz w:val="24"/>
      <w:szCs w:val="24"/>
      <w:lang w:val="en-GB" w:eastAsia="en-GB"/>
    </w:rPr>
  </w:style>
  <w:style w:type="paragraph" w:styleId="berarbeitung">
    <w:name w:val="Revision"/>
    <w:uiPriority w:val="99"/>
    <w:semiHidden/>
    <w:qFormat/>
    <w:rsid w:val="0079216E"/>
    <w:rPr>
      <w:rFonts w:ascii="Arial" w:eastAsia="Arial" w:hAnsi="Arial" w:cs="Arial"/>
      <w:lang w:val="de-DE" w:eastAsia="de-DE"/>
    </w:rPr>
  </w:style>
  <w:style w:type="paragraph" w:customStyle="1" w:styleId="Rahmeninhalt">
    <w:name w:val="Rahmeninhalt"/>
    <w:basedOn w:val="Standard"/>
    <w:qFormat/>
  </w:style>
  <w:style w:type="table" w:styleId="Tabellenraster">
    <w:name w:val="Table Grid"/>
    <w:basedOn w:val="NormaleTabelle"/>
    <w:uiPriority w:val="39"/>
    <w:rsid w:val="002D5BE3"/>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941C4"/>
    <w:rPr>
      <w:color w:val="0563C1" w:themeColor="hyperlink"/>
      <w:u w:val="single"/>
    </w:rPr>
  </w:style>
  <w:style w:type="character" w:customStyle="1" w:styleId="Mentionnonrsolue1">
    <w:name w:val="Mention non résolue1"/>
    <w:basedOn w:val="Absatz-Standardschriftart"/>
    <w:uiPriority w:val="99"/>
    <w:semiHidden/>
    <w:unhideWhenUsed/>
    <w:rsid w:val="00A559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34035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g"/><Relationship Id="rId10" Type="http://schemas.openxmlformats.org/officeDocument/2006/relationships/image" Target="media/image3.png"/><Relationship Id="rId19" Type="http://schemas.openxmlformats.org/officeDocument/2006/relationships/image" Target="media/image12.jp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g"/><Relationship Id="rId30" Type="http://schemas.openxmlformats.org/officeDocument/2006/relationships/image" Target="media/image23.jpg"/><Relationship Id="rId35"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44A12-19DC-4956-84F0-94489311B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5635</Words>
  <Characters>32966</Characters>
  <Application>Microsoft Office Word</Application>
  <DocSecurity>0</DocSecurity>
  <Lines>672</Lines>
  <Paragraphs>252</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University of Edinburgh</Company>
  <LinksUpToDate>false</LinksUpToDate>
  <CharactersWithSpaces>38349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Rybtsova</dc:creator>
  <dc:description/>
  <cp:lastModifiedBy>Author</cp:lastModifiedBy>
  <cp:revision>2</cp:revision>
  <dcterms:created xsi:type="dcterms:W3CDTF">2025-04-28T14:36:00Z</dcterms:created>
  <dcterms:modified xsi:type="dcterms:W3CDTF">2025-04-28T14:36:00Z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484126-3486-41a9-802e-7f1e2277276c_Enabled">
    <vt:lpwstr>true</vt:lpwstr>
  </property>
  <property fmtid="{D5CDD505-2E9C-101B-9397-08002B2CF9AE}" pid="3" name="MSIP_Label_d0484126-3486-41a9-802e-7f1e2277276c_SetDate">
    <vt:lpwstr>2025-04-25T12:28:51Z</vt:lpwstr>
  </property>
  <property fmtid="{D5CDD505-2E9C-101B-9397-08002B2CF9AE}" pid="4" name="MSIP_Label_d0484126-3486-41a9-802e-7f1e2277276c_Method">
    <vt:lpwstr>Standard</vt:lpwstr>
  </property>
  <property fmtid="{D5CDD505-2E9C-101B-9397-08002B2CF9AE}" pid="5" name="MSIP_Label_d0484126-3486-41a9-802e-7f1e2277276c_Name">
    <vt:lpwstr>d0484126-3486-41a9-802e-7f1e2277276c</vt:lpwstr>
  </property>
  <property fmtid="{D5CDD505-2E9C-101B-9397-08002B2CF9AE}" pid="6" name="MSIP_Label_d0484126-3486-41a9-802e-7f1e2277276c_SiteId">
    <vt:lpwstr>eec01f8e-737f-43e3-9ed5-f8a59913bd82</vt:lpwstr>
  </property>
  <property fmtid="{D5CDD505-2E9C-101B-9397-08002B2CF9AE}" pid="7" name="MSIP_Label_d0484126-3486-41a9-802e-7f1e2277276c_ActionId">
    <vt:lpwstr>9a77c921-2d0b-466b-bb60-ffdf589ba5d1</vt:lpwstr>
  </property>
  <property fmtid="{D5CDD505-2E9C-101B-9397-08002B2CF9AE}" pid="8" name="MSIP_Label_d0484126-3486-41a9-802e-7f1e2277276c_ContentBits">
    <vt:lpwstr>0</vt:lpwstr>
  </property>
  <property fmtid="{D5CDD505-2E9C-101B-9397-08002B2CF9AE}" pid="9" name="MSIP_Label_d0484126-3486-41a9-802e-7f1e2277276c_Tag">
    <vt:lpwstr>10, 3, 0, 1</vt:lpwstr>
  </property>
</Properties>
</file>