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E14A2" w14:textId="354CD1B2" w:rsidR="001202DA" w:rsidRPr="0014556C" w:rsidRDefault="00EC0A2F" w:rsidP="001202DA">
      <w:pPr>
        <w:rPr>
          <w:rFonts w:asciiTheme="majorHAnsi" w:hAnsiTheme="majorHAnsi" w:cstheme="majorHAnsi"/>
        </w:rPr>
      </w:pPr>
      <w:r w:rsidRPr="0014556C">
        <w:rPr>
          <w:rFonts w:asciiTheme="majorHAnsi" w:hAnsiTheme="majorHAnsi" w:cstheme="majorHAnsi"/>
          <w:noProof/>
          <w:lang w:val="de-DE" w:eastAsia="de-DE"/>
        </w:rPr>
        <w:drawing>
          <wp:anchor distT="0" distB="0" distL="114300" distR="114300" simplePos="0" relativeHeight="251660288" behindDoc="0" locked="0" layoutInCell="1" allowOverlap="1" wp14:anchorId="1453640A" wp14:editId="61664C18">
            <wp:simplePos x="0" y="0"/>
            <wp:positionH relativeFrom="margin">
              <wp:align>right</wp:align>
            </wp:positionH>
            <wp:positionV relativeFrom="paragraph">
              <wp:posOffset>71755</wp:posOffset>
            </wp:positionV>
            <wp:extent cx="1682115" cy="1121410"/>
            <wp:effectExtent l="0" t="0" r="0"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8_09_17_EU fla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2115" cy="1121410"/>
                    </a:xfrm>
                    <a:prstGeom prst="rect">
                      <a:avLst/>
                    </a:prstGeom>
                  </pic:spPr>
                </pic:pic>
              </a:graphicData>
            </a:graphic>
            <wp14:sizeRelH relativeFrom="margin">
              <wp14:pctWidth>0</wp14:pctWidth>
            </wp14:sizeRelH>
            <wp14:sizeRelV relativeFrom="margin">
              <wp14:pctHeight>0</wp14:pctHeight>
            </wp14:sizeRelV>
          </wp:anchor>
        </w:drawing>
      </w:r>
      <w:r w:rsidRPr="0014556C">
        <w:rPr>
          <w:rFonts w:asciiTheme="majorHAnsi" w:hAnsiTheme="majorHAnsi" w:cstheme="majorHAnsi"/>
          <w:noProof/>
          <w:lang w:val="de-DE" w:eastAsia="de-DE"/>
        </w:rPr>
        <w:drawing>
          <wp:inline distT="0" distB="0" distL="0" distR="0" wp14:anchorId="5FABB4C8" wp14:editId="1C370C02">
            <wp:extent cx="2547117" cy="943200"/>
            <wp:effectExtent l="0" t="0" r="5715" b="9525"/>
            <wp:docPr id="1" name="Picture 1" descr="\\cmvm.datastore.ed.ac.uk\cmvm\eb\users\nrybtso2\Natalia R\eurofaang-right-img-updat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vm.datastore.ed.ac.uk\cmvm\eb\users\nrybtso2\Natalia R\eurofaang-right-img-updated 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7174" cy="969142"/>
                    </a:xfrm>
                    <a:prstGeom prst="rect">
                      <a:avLst/>
                    </a:prstGeom>
                    <a:noFill/>
                    <a:ln>
                      <a:noFill/>
                    </a:ln>
                  </pic:spPr>
                </pic:pic>
              </a:graphicData>
            </a:graphic>
          </wp:inline>
        </w:drawing>
      </w:r>
      <w:bookmarkStart w:id="0" w:name="_Hlk525204145"/>
      <w:bookmarkEnd w:id="0"/>
    </w:p>
    <w:p w14:paraId="60EAE6F4" w14:textId="77777777" w:rsidR="00EC0A2F" w:rsidRPr="0014556C" w:rsidRDefault="00EC0A2F" w:rsidP="001202DA">
      <w:pPr>
        <w:jc w:val="center"/>
        <w:rPr>
          <w:rFonts w:asciiTheme="majorHAnsi" w:eastAsia="Century Gothic" w:hAnsiTheme="majorHAnsi" w:cstheme="majorHAnsi"/>
          <w:b/>
          <w:color w:val="000000" w:themeColor="text1"/>
          <w:szCs w:val="28"/>
        </w:rPr>
      </w:pPr>
    </w:p>
    <w:p w14:paraId="22597E3B" w14:textId="77777777" w:rsidR="00EC0A2F" w:rsidRPr="0014556C" w:rsidRDefault="00EC0A2F" w:rsidP="001202DA">
      <w:pPr>
        <w:jc w:val="center"/>
        <w:rPr>
          <w:rFonts w:asciiTheme="majorHAnsi" w:eastAsia="Century Gothic" w:hAnsiTheme="majorHAnsi" w:cstheme="majorHAnsi"/>
          <w:b/>
          <w:color w:val="000000" w:themeColor="text1"/>
          <w:szCs w:val="28"/>
        </w:rPr>
      </w:pPr>
    </w:p>
    <w:p w14:paraId="3FBEA2DD" w14:textId="77777777" w:rsidR="00BB2F22" w:rsidRPr="0014556C" w:rsidRDefault="00BB2F22" w:rsidP="00761762">
      <w:pPr>
        <w:jc w:val="center"/>
        <w:rPr>
          <w:rFonts w:asciiTheme="majorHAnsi" w:eastAsia="Century Gothic" w:hAnsiTheme="majorHAnsi" w:cstheme="majorHAnsi"/>
          <w:color w:val="000000" w:themeColor="text1"/>
          <w:sz w:val="48"/>
        </w:rPr>
      </w:pPr>
    </w:p>
    <w:p w14:paraId="5CE37AFA" w14:textId="3A21DA40" w:rsidR="00761762" w:rsidRPr="0014556C" w:rsidRDefault="00761762" w:rsidP="00761762">
      <w:pPr>
        <w:jc w:val="center"/>
        <w:rPr>
          <w:rFonts w:asciiTheme="majorHAnsi" w:eastAsia="Century Gothic" w:hAnsiTheme="majorHAnsi" w:cstheme="majorHAnsi"/>
          <w:color w:val="000000" w:themeColor="text1"/>
          <w:sz w:val="48"/>
        </w:rPr>
      </w:pPr>
      <w:r w:rsidRPr="0014556C">
        <w:rPr>
          <w:rFonts w:asciiTheme="majorHAnsi" w:eastAsia="Century Gothic" w:hAnsiTheme="majorHAnsi" w:cstheme="majorHAnsi"/>
          <w:color w:val="000000" w:themeColor="text1"/>
          <w:sz w:val="48"/>
        </w:rPr>
        <w:t xml:space="preserve">Deliverable </w:t>
      </w:r>
      <w:r w:rsidR="00310E23" w:rsidRPr="0014556C">
        <w:rPr>
          <w:rFonts w:asciiTheme="majorHAnsi" w:eastAsia="Century Gothic" w:hAnsiTheme="majorHAnsi" w:cstheme="majorHAnsi"/>
          <w:color w:val="000000" w:themeColor="text1"/>
          <w:sz w:val="48"/>
        </w:rPr>
        <w:t>D5.</w:t>
      </w:r>
      <w:r w:rsidR="00AC00D5" w:rsidRPr="0014556C">
        <w:rPr>
          <w:rFonts w:asciiTheme="majorHAnsi" w:eastAsia="Century Gothic" w:hAnsiTheme="majorHAnsi" w:cstheme="majorHAnsi"/>
          <w:color w:val="000000" w:themeColor="text1"/>
          <w:sz w:val="48"/>
        </w:rPr>
        <w:t>1</w:t>
      </w:r>
    </w:p>
    <w:p w14:paraId="5DA26A14" w14:textId="77777777" w:rsidR="00BB2F22" w:rsidRPr="0014556C" w:rsidRDefault="00BB2F22" w:rsidP="00761762">
      <w:pPr>
        <w:jc w:val="center"/>
        <w:rPr>
          <w:rFonts w:asciiTheme="majorHAnsi" w:eastAsia="Century Gothic" w:hAnsiTheme="majorHAnsi" w:cstheme="majorHAnsi"/>
          <w:color w:val="000000" w:themeColor="text1"/>
          <w:sz w:val="48"/>
        </w:rPr>
      </w:pPr>
    </w:p>
    <w:p w14:paraId="135B9900" w14:textId="22FD7444" w:rsidR="00AC00D5" w:rsidRPr="0014556C" w:rsidRDefault="00AC00D5" w:rsidP="001202DA">
      <w:pPr>
        <w:jc w:val="center"/>
        <w:rPr>
          <w:rFonts w:asciiTheme="majorHAnsi" w:eastAsia="Century Gothic" w:hAnsiTheme="majorHAnsi" w:cstheme="majorHAnsi"/>
          <w:b/>
          <w:bCs/>
          <w:color w:val="000000" w:themeColor="text1"/>
          <w:sz w:val="56"/>
        </w:rPr>
      </w:pPr>
      <w:r w:rsidRPr="0014556C">
        <w:rPr>
          <w:rFonts w:asciiTheme="majorHAnsi" w:eastAsia="Century Gothic" w:hAnsiTheme="majorHAnsi" w:cstheme="majorHAnsi"/>
          <w:b/>
          <w:bCs/>
          <w:color w:val="000000" w:themeColor="text1"/>
          <w:sz w:val="56"/>
        </w:rPr>
        <w:t xml:space="preserve">A framework for access to high-throughput phenotyping (HTP) platforms for the validation of candidate causal variants </w:t>
      </w:r>
    </w:p>
    <w:p w14:paraId="4D73C51C" w14:textId="77777777" w:rsidR="00BB2F22" w:rsidRPr="0014556C" w:rsidRDefault="00BB2F22" w:rsidP="001202DA">
      <w:pPr>
        <w:jc w:val="center"/>
        <w:rPr>
          <w:rFonts w:asciiTheme="majorHAnsi" w:eastAsia="Century Gothic" w:hAnsiTheme="majorHAnsi" w:cstheme="majorHAnsi"/>
          <w:b/>
          <w:bCs/>
          <w:color w:val="000000" w:themeColor="text1"/>
          <w:sz w:val="56"/>
        </w:rPr>
      </w:pPr>
    </w:p>
    <w:p w14:paraId="78608AC6" w14:textId="75492D4B" w:rsidR="001202DA" w:rsidRPr="0014556C" w:rsidRDefault="001202DA" w:rsidP="001202DA">
      <w:pPr>
        <w:jc w:val="center"/>
        <w:rPr>
          <w:rFonts w:asciiTheme="majorHAnsi" w:eastAsia="Century Gothic" w:hAnsiTheme="majorHAnsi" w:cstheme="majorHAnsi"/>
          <w:b/>
          <w:color w:val="000000" w:themeColor="text1"/>
          <w:szCs w:val="28"/>
        </w:rPr>
      </w:pPr>
      <w:r w:rsidRPr="0014556C">
        <w:rPr>
          <w:rFonts w:asciiTheme="majorHAnsi" w:eastAsia="Century Gothic" w:hAnsiTheme="majorHAnsi" w:cstheme="majorHAnsi"/>
          <w:b/>
          <w:color w:val="000000" w:themeColor="text1"/>
          <w:szCs w:val="28"/>
        </w:rPr>
        <w:t xml:space="preserve">Grant agreement no°: </w:t>
      </w:r>
      <w:r w:rsidR="00EC0A2F" w:rsidRPr="0014556C">
        <w:rPr>
          <w:rFonts w:asciiTheme="majorHAnsi" w:eastAsia="Century Gothic" w:hAnsiTheme="majorHAnsi" w:cstheme="majorHAnsi"/>
          <w:b/>
          <w:color w:val="000000" w:themeColor="text1"/>
          <w:szCs w:val="28"/>
        </w:rPr>
        <w:t>101094718</w:t>
      </w:r>
    </w:p>
    <w:p w14:paraId="3A96F6B0" w14:textId="77777777" w:rsidR="00BB2F22" w:rsidRPr="0014556C" w:rsidRDefault="00BB2F22" w:rsidP="001202DA">
      <w:pPr>
        <w:jc w:val="center"/>
        <w:rPr>
          <w:rFonts w:asciiTheme="majorHAnsi" w:eastAsia="Century Gothic" w:hAnsiTheme="majorHAnsi" w:cstheme="majorHAnsi"/>
          <w:b/>
          <w:color w:val="000000" w:themeColor="text1"/>
          <w:szCs w:val="28"/>
        </w:rPr>
      </w:pPr>
    </w:p>
    <w:p w14:paraId="2AB8B854" w14:textId="77777777" w:rsidR="001202DA" w:rsidRPr="0014556C" w:rsidRDefault="001202DA" w:rsidP="001202DA">
      <w:pPr>
        <w:jc w:val="center"/>
        <w:rPr>
          <w:rFonts w:asciiTheme="majorHAnsi" w:eastAsia="Century Gothic" w:hAnsiTheme="majorHAnsi" w:cstheme="majorHAnsi"/>
          <w:color w:val="000000" w:themeColor="text1"/>
          <w:szCs w:val="28"/>
        </w:rPr>
      </w:pPr>
      <w:r w:rsidRPr="0014556C">
        <w:rPr>
          <w:rFonts w:asciiTheme="majorHAnsi" w:eastAsia="Century Gothic" w:hAnsiTheme="majorHAnsi" w:cstheme="majorHAnsi"/>
          <w:color w:val="000000" w:themeColor="text1"/>
          <w:szCs w:val="28"/>
        </w:rPr>
        <w:t>Due submission date</w:t>
      </w:r>
    </w:p>
    <w:p w14:paraId="35C5348F" w14:textId="2DEF1240" w:rsidR="009226E6" w:rsidRPr="0014556C" w:rsidRDefault="00284822" w:rsidP="009226E6">
      <w:pPr>
        <w:jc w:val="center"/>
        <w:rPr>
          <w:rFonts w:asciiTheme="majorHAnsi" w:eastAsia="Century Gothic" w:hAnsiTheme="majorHAnsi" w:cstheme="majorHAnsi"/>
          <w:b/>
          <w:color w:val="000000" w:themeColor="text1"/>
          <w:szCs w:val="28"/>
        </w:rPr>
      </w:pPr>
      <w:r w:rsidRPr="0014556C">
        <w:rPr>
          <w:rFonts w:asciiTheme="majorHAnsi" w:eastAsia="Century Gothic" w:hAnsiTheme="majorHAnsi" w:cstheme="majorHAnsi"/>
          <w:b/>
          <w:color w:val="000000" w:themeColor="text1"/>
          <w:szCs w:val="28"/>
        </w:rPr>
        <w:t>202</w:t>
      </w:r>
      <w:r w:rsidR="00AC00D5" w:rsidRPr="0014556C">
        <w:rPr>
          <w:rFonts w:asciiTheme="majorHAnsi" w:eastAsia="Century Gothic" w:hAnsiTheme="majorHAnsi" w:cstheme="majorHAnsi"/>
          <w:b/>
          <w:color w:val="000000" w:themeColor="text1"/>
          <w:szCs w:val="28"/>
        </w:rPr>
        <w:t>4</w:t>
      </w:r>
      <w:r w:rsidR="009226E6" w:rsidRPr="0014556C">
        <w:rPr>
          <w:rFonts w:asciiTheme="majorHAnsi" w:eastAsia="Century Gothic" w:hAnsiTheme="majorHAnsi" w:cstheme="majorHAnsi"/>
          <w:b/>
          <w:color w:val="000000" w:themeColor="text1"/>
          <w:szCs w:val="28"/>
        </w:rPr>
        <w:t>-</w:t>
      </w:r>
      <w:r w:rsidR="00AC00D5" w:rsidRPr="0014556C">
        <w:rPr>
          <w:rFonts w:asciiTheme="majorHAnsi" w:eastAsia="Century Gothic" w:hAnsiTheme="majorHAnsi" w:cstheme="majorHAnsi"/>
          <w:b/>
          <w:color w:val="000000" w:themeColor="text1"/>
          <w:szCs w:val="28"/>
        </w:rPr>
        <w:t>06</w:t>
      </w:r>
      <w:r w:rsidR="009226E6" w:rsidRPr="0014556C">
        <w:rPr>
          <w:rFonts w:asciiTheme="majorHAnsi" w:eastAsia="Century Gothic" w:hAnsiTheme="majorHAnsi" w:cstheme="majorHAnsi"/>
          <w:b/>
          <w:color w:val="000000" w:themeColor="text1"/>
          <w:szCs w:val="28"/>
        </w:rPr>
        <w:t>-</w:t>
      </w:r>
      <w:r w:rsidRPr="0014556C">
        <w:rPr>
          <w:rFonts w:asciiTheme="majorHAnsi" w:eastAsia="Century Gothic" w:hAnsiTheme="majorHAnsi" w:cstheme="majorHAnsi"/>
          <w:b/>
          <w:color w:val="000000" w:themeColor="text1"/>
          <w:szCs w:val="28"/>
        </w:rPr>
        <w:t>3</w:t>
      </w:r>
      <w:r w:rsidR="00AC00D5" w:rsidRPr="0014556C">
        <w:rPr>
          <w:rFonts w:asciiTheme="majorHAnsi" w:eastAsia="Century Gothic" w:hAnsiTheme="majorHAnsi" w:cstheme="majorHAnsi"/>
          <w:b/>
          <w:color w:val="000000" w:themeColor="text1"/>
          <w:szCs w:val="28"/>
        </w:rPr>
        <w:t>0</w:t>
      </w:r>
    </w:p>
    <w:p w14:paraId="6C712162" w14:textId="77777777" w:rsidR="001202DA" w:rsidRPr="0014556C" w:rsidRDefault="001202DA" w:rsidP="001202DA">
      <w:pPr>
        <w:jc w:val="center"/>
        <w:rPr>
          <w:rFonts w:asciiTheme="majorHAnsi" w:eastAsia="Century Gothic" w:hAnsiTheme="majorHAnsi" w:cstheme="majorHAnsi"/>
          <w:color w:val="000000" w:themeColor="text1"/>
          <w:szCs w:val="28"/>
        </w:rPr>
      </w:pPr>
      <w:r w:rsidRPr="0014556C">
        <w:rPr>
          <w:rFonts w:asciiTheme="majorHAnsi" w:eastAsia="Century Gothic" w:hAnsiTheme="majorHAnsi" w:cstheme="majorHAnsi"/>
          <w:color w:val="000000" w:themeColor="text1"/>
          <w:szCs w:val="28"/>
        </w:rPr>
        <w:t>Actual submission date</w:t>
      </w:r>
    </w:p>
    <w:p w14:paraId="64B25BB5" w14:textId="736BF4F8" w:rsidR="00194EB9" w:rsidRPr="0014556C" w:rsidRDefault="00194EB9" w:rsidP="00194EB9">
      <w:pPr>
        <w:jc w:val="center"/>
        <w:rPr>
          <w:rFonts w:asciiTheme="majorHAnsi" w:eastAsia="Century Gothic" w:hAnsiTheme="majorHAnsi" w:cstheme="majorHAnsi"/>
          <w:b/>
          <w:color w:val="000000" w:themeColor="text1"/>
          <w:szCs w:val="28"/>
        </w:rPr>
      </w:pPr>
      <w:r w:rsidRPr="0014556C">
        <w:rPr>
          <w:rFonts w:asciiTheme="majorHAnsi" w:eastAsia="Century Gothic" w:hAnsiTheme="majorHAnsi" w:cstheme="majorHAnsi"/>
          <w:b/>
          <w:color w:val="000000" w:themeColor="text1"/>
          <w:szCs w:val="28"/>
        </w:rPr>
        <w:t>2024-06-</w:t>
      </w:r>
      <w:r w:rsidRPr="0014556C">
        <w:rPr>
          <w:rFonts w:asciiTheme="majorHAnsi" w:eastAsia="Century Gothic" w:hAnsiTheme="majorHAnsi" w:cstheme="majorHAnsi"/>
          <w:b/>
          <w:color w:val="000000" w:themeColor="text1"/>
          <w:szCs w:val="28"/>
        </w:rPr>
        <w:t>28</w:t>
      </w:r>
    </w:p>
    <w:p w14:paraId="5586112C" w14:textId="77777777" w:rsidR="007C0D75" w:rsidRPr="0014556C" w:rsidRDefault="007C0D75" w:rsidP="007C0D75">
      <w:pPr>
        <w:jc w:val="center"/>
        <w:rPr>
          <w:rFonts w:asciiTheme="majorHAnsi" w:eastAsia="Century Gothic" w:hAnsiTheme="majorHAnsi" w:cstheme="majorHAnsi"/>
          <w:color w:val="000000" w:themeColor="text1"/>
          <w:szCs w:val="28"/>
        </w:rPr>
      </w:pPr>
      <w:r w:rsidRPr="0014556C">
        <w:rPr>
          <w:rFonts w:asciiTheme="majorHAnsi" w:eastAsia="Century Gothic" w:hAnsiTheme="majorHAnsi" w:cstheme="majorHAnsi"/>
          <w:color w:val="000000" w:themeColor="text1"/>
          <w:szCs w:val="28"/>
        </w:rPr>
        <w:t xml:space="preserve">Responsible author(s) </w:t>
      </w:r>
    </w:p>
    <w:p w14:paraId="4595E68A" w14:textId="77777777" w:rsidR="00BB2F22" w:rsidRPr="0014556C" w:rsidRDefault="00BB2F22" w:rsidP="007C0D75">
      <w:pPr>
        <w:jc w:val="center"/>
        <w:rPr>
          <w:rFonts w:asciiTheme="majorHAnsi" w:eastAsia="Century Gothic" w:hAnsiTheme="majorHAnsi" w:cstheme="majorHAnsi"/>
          <w:color w:val="000000" w:themeColor="text1"/>
          <w:szCs w:val="28"/>
        </w:rPr>
      </w:pPr>
    </w:p>
    <w:p w14:paraId="30EC99F3" w14:textId="47164408" w:rsidR="007C0D75" w:rsidRPr="0014556C" w:rsidRDefault="00284822" w:rsidP="00AC00D5">
      <w:pPr>
        <w:jc w:val="center"/>
        <w:rPr>
          <w:rStyle w:val="Hyperlink"/>
          <w:rFonts w:asciiTheme="majorHAnsi" w:eastAsia="Century Gothic" w:hAnsiTheme="majorHAnsi" w:cstheme="majorHAnsi"/>
          <w:b/>
          <w:color w:val="000000" w:themeColor="text1"/>
          <w:szCs w:val="28"/>
          <w:lang w:val="nl-NL"/>
        </w:rPr>
      </w:pPr>
      <w:r w:rsidRPr="0014556C">
        <w:rPr>
          <w:rFonts w:asciiTheme="majorHAnsi" w:eastAsia="Century Gothic" w:hAnsiTheme="majorHAnsi" w:cstheme="majorHAnsi"/>
          <w:b/>
          <w:color w:val="000000" w:themeColor="text1"/>
          <w:szCs w:val="28"/>
          <w:lang w:val="nl-NL"/>
        </w:rPr>
        <w:t>Emily Clark (UEDIN)</w:t>
      </w:r>
      <w:r w:rsidR="007C0D75" w:rsidRPr="0014556C">
        <w:rPr>
          <w:rFonts w:asciiTheme="majorHAnsi" w:eastAsia="Century Gothic" w:hAnsiTheme="majorHAnsi" w:cstheme="majorHAnsi"/>
          <w:b/>
          <w:color w:val="000000" w:themeColor="text1"/>
          <w:szCs w:val="28"/>
          <w:lang w:val="nl-NL"/>
        </w:rPr>
        <w:t>;</w:t>
      </w:r>
      <w:r w:rsidR="00CF0290" w:rsidRPr="0014556C">
        <w:rPr>
          <w:rFonts w:asciiTheme="majorHAnsi" w:eastAsia="Century Gothic" w:hAnsiTheme="majorHAnsi" w:cstheme="majorHAnsi"/>
          <w:b/>
          <w:color w:val="000000" w:themeColor="text1"/>
          <w:szCs w:val="28"/>
          <w:lang w:val="nl-NL"/>
        </w:rPr>
        <w:t xml:space="preserve"> </w:t>
      </w:r>
      <w:hyperlink r:id="rId13" w:history="1">
        <w:r w:rsidR="00E04C0C" w:rsidRPr="0014556C">
          <w:rPr>
            <w:rStyle w:val="Hyperlink"/>
            <w:rFonts w:asciiTheme="majorHAnsi" w:eastAsia="Century Gothic" w:hAnsiTheme="majorHAnsi" w:cstheme="majorHAnsi"/>
            <w:b/>
            <w:szCs w:val="28"/>
            <w:lang w:val="nl-NL"/>
          </w:rPr>
          <w:t>emily.clark@roslin.ed.ac.uk</w:t>
        </w:r>
      </w:hyperlink>
      <w:r w:rsidR="00E04C0C" w:rsidRPr="0014556C">
        <w:rPr>
          <w:rFonts w:asciiTheme="majorHAnsi" w:eastAsia="Century Gothic" w:hAnsiTheme="majorHAnsi" w:cstheme="majorHAnsi"/>
          <w:b/>
          <w:color w:val="000000" w:themeColor="text1"/>
          <w:szCs w:val="28"/>
          <w:lang w:val="nl-NL"/>
        </w:rPr>
        <w:t xml:space="preserve"> </w:t>
      </w:r>
    </w:p>
    <w:p w14:paraId="0C333B8E" w14:textId="32E9327B" w:rsidR="00E04C0C" w:rsidRPr="0014556C" w:rsidRDefault="00E04C0C" w:rsidP="001202DA">
      <w:pPr>
        <w:jc w:val="center"/>
        <w:rPr>
          <w:rFonts w:asciiTheme="majorHAnsi" w:hAnsiTheme="majorHAnsi" w:cstheme="majorHAnsi"/>
          <w:b/>
          <w:color w:val="000000" w:themeColor="text1"/>
          <w:lang w:val="nl-NL"/>
        </w:rPr>
      </w:pPr>
      <w:proofErr w:type="spellStart"/>
      <w:r w:rsidRPr="0014556C">
        <w:rPr>
          <w:rFonts w:asciiTheme="majorHAnsi" w:hAnsiTheme="majorHAnsi" w:cstheme="majorHAnsi"/>
          <w:b/>
          <w:color w:val="000000" w:themeColor="text1"/>
          <w:lang w:val="nl-NL"/>
        </w:rPr>
        <w:t>Geena</w:t>
      </w:r>
      <w:proofErr w:type="spellEnd"/>
      <w:r w:rsidRPr="0014556C">
        <w:rPr>
          <w:rFonts w:asciiTheme="majorHAnsi" w:hAnsiTheme="majorHAnsi" w:cstheme="majorHAnsi"/>
          <w:b/>
          <w:color w:val="000000" w:themeColor="text1"/>
          <w:lang w:val="nl-NL"/>
        </w:rPr>
        <w:t xml:space="preserve"> </w:t>
      </w:r>
      <w:proofErr w:type="spellStart"/>
      <w:r w:rsidRPr="0014556C">
        <w:rPr>
          <w:rFonts w:asciiTheme="majorHAnsi" w:hAnsiTheme="majorHAnsi" w:cstheme="majorHAnsi"/>
          <w:b/>
          <w:color w:val="000000" w:themeColor="text1"/>
          <w:lang w:val="nl-NL"/>
        </w:rPr>
        <w:t>Cartick</w:t>
      </w:r>
      <w:proofErr w:type="spellEnd"/>
      <w:r w:rsidRPr="0014556C">
        <w:rPr>
          <w:rFonts w:asciiTheme="majorHAnsi" w:hAnsiTheme="majorHAnsi" w:cstheme="majorHAnsi"/>
          <w:b/>
          <w:color w:val="000000" w:themeColor="text1"/>
          <w:lang w:val="nl-NL"/>
        </w:rPr>
        <w:t xml:space="preserve"> (EFFAB); </w:t>
      </w:r>
      <w:hyperlink r:id="rId14" w:history="1">
        <w:r w:rsidRPr="0014556C">
          <w:rPr>
            <w:rStyle w:val="Hyperlink"/>
            <w:rFonts w:asciiTheme="majorHAnsi" w:hAnsiTheme="majorHAnsi" w:cstheme="majorHAnsi"/>
            <w:b/>
            <w:lang w:val="nl-NL"/>
          </w:rPr>
          <w:t>geena.cartick@effab.info</w:t>
        </w:r>
      </w:hyperlink>
      <w:r w:rsidRPr="0014556C">
        <w:rPr>
          <w:rFonts w:asciiTheme="majorHAnsi" w:hAnsiTheme="majorHAnsi" w:cstheme="majorHAnsi"/>
          <w:b/>
          <w:color w:val="000000" w:themeColor="text1"/>
          <w:lang w:val="nl-NL"/>
        </w:rPr>
        <w:t xml:space="preserve"> </w:t>
      </w:r>
    </w:p>
    <w:p w14:paraId="571ACC70" w14:textId="77777777" w:rsidR="00BB2F22" w:rsidRPr="0014556C" w:rsidRDefault="00BB2F22" w:rsidP="001202DA">
      <w:pPr>
        <w:jc w:val="center"/>
        <w:rPr>
          <w:rFonts w:asciiTheme="majorHAnsi" w:hAnsiTheme="majorHAnsi" w:cstheme="majorHAnsi"/>
          <w:b/>
          <w:color w:val="000000" w:themeColor="text1"/>
          <w:lang w:val="nl-NL"/>
        </w:rPr>
      </w:pPr>
    </w:p>
    <w:p w14:paraId="163053C7" w14:textId="5F5A6808" w:rsidR="001202DA" w:rsidRPr="0014556C" w:rsidRDefault="001202DA" w:rsidP="001202DA">
      <w:pPr>
        <w:jc w:val="center"/>
        <w:rPr>
          <w:rFonts w:asciiTheme="majorHAnsi" w:hAnsiTheme="majorHAnsi" w:cstheme="majorHAnsi"/>
          <w:b/>
          <w:color w:val="000000" w:themeColor="text1"/>
          <w:sz w:val="22"/>
        </w:rPr>
      </w:pPr>
      <w:r w:rsidRPr="0014556C">
        <w:rPr>
          <w:rFonts w:asciiTheme="majorHAnsi" w:hAnsiTheme="majorHAnsi" w:cstheme="majorHAnsi"/>
          <w:b/>
          <w:color w:val="000000" w:themeColor="text1"/>
          <w:sz w:val="22"/>
        </w:rPr>
        <w:t>Confidential</w:t>
      </w:r>
      <w:r w:rsidR="00CF0290" w:rsidRPr="0014556C">
        <w:rPr>
          <w:rFonts w:asciiTheme="majorHAnsi" w:hAnsiTheme="majorHAnsi" w:cstheme="majorHAnsi"/>
          <w:b/>
          <w:color w:val="000000" w:themeColor="text1"/>
          <w:sz w:val="22"/>
        </w:rPr>
        <w:t xml:space="preserve">: </w:t>
      </w:r>
      <w:r w:rsidRPr="0014556C">
        <w:rPr>
          <w:rFonts w:asciiTheme="majorHAnsi" w:hAnsiTheme="majorHAnsi" w:cstheme="majorHAnsi"/>
          <w:b/>
          <w:color w:val="000000" w:themeColor="text1"/>
          <w:sz w:val="22"/>
        </w:rPr>
        <w:t xml:space="preserve">No </w:t>
      </w:r>
    </w:p>
    <w:p w14:paraId="570AB802" w14:textId="40267334" w:rsidR="001202DA" w:rsidRPr="0014556C" w:rsidRDefault="001202DA" w:rsidP="001202DA">
      <w:pPr>
        <w:jc w:val="center"/>
        <w:rPr>
          <w:rFonts w:asciiTheme="majorHAnsi" w:hAnsiTheme="majorHAnsi" w:cstheme="majorHAnsi"/>
        </w:rPr>
      </w:pPr>
    </w:p>
    <w:p w14:paraId="285FF9A3" w14:textId="77777777" w:rsidR="007C0D75" w:rsidRPr="0014556C" w:rsidRDefault="007C0D75" w:rsidP="00C91458">
      <w:pPr>
        <w:rPr>
          <w:rFonts w:asciiTheme="majorHAnsi" w:hAnsiTheme="majorHAnsi" w:cstheme="majorHAnsi"/>
        </w:rPr>
      </w:pPr>
    </w:p>
    <w:p w14:paraId="5141FFD7" w14:textId="77777777" w:rsidR="001202DA" w:rsidRPr="0014556C" w:rsidRDefault="001202DA" w:rsidP="001202DA">
      <w:pPr>
        <w:jc w:val="center"/>
        <w:rPr>
          <w:rFonts w:asciiTheme="majorHAnsi" w:hAnsiTheme="majorHAnsi" w:cstheme="majorHAnsi"/>
        </w:rPr>
      </w:pPr>
      <w:r w:rsidRPr="0014556C">
        <w:rPr>
          <w:rFonts w:asciiTheme="majorHAnsi" w:hAnsiTheme="majorHAnsi" w:cstheme="majorHAnsi"/>
          <w:noProof/>
          <w:lang w:val="de-DE" w:eastAsia="de-DE"/>
        </w:rPr>
        <mc:AlternateContent>
          <mc:Choice Requires="wps">
            <w:drawing>
              <wp:anchor distT="0" distB="0" distL="114300" distR="114300" simplePos="0" relativeHeight="251659264" behindDoc="0" locked="0" layoutInCell="1" allowOverlap="1" wp14:anchorId="0DE7D6B1" wp14:editId="6D08F998">
                <wp:simplePos x="0" y="0"/>
                <wp:positionH relativeFrom="margin">
                  <wp:align>right</wp:align>
                </wp:positionH>
                <wp:positionV relativeFrom="paragraph">
                  <wp:posOffset>142053</wp:posOffset>
                </wp:positionV>
                <wp:extent cx="5966460" cy="731520"/>
                <wp:effectExtent l="0" t="0" r="0" b="0"/>
                <wp:wrapNone/>
                <wp:docPr id="5" name="Text Box 5"/>
                <wp:cNvGraphicFramePr/>
                <a:graphic xmlns:a="http://schemas.openxmlformats.org/drawingml/2006/main">
                  <a:graphicData uri="http://schemas.microsoft.com/office/word/2010/wordprocessingShape">
                    <wps:wsp>
                      <wps:cNvSpPr txBox="1"/>
                      <wps:spPr>
                        <a:xfrm>
                          <a:off x="0" y="0"/>
                          <a:ext cx="5966460" cy="731520"/>
                        </a:xfrm>
                        <a:prstGeom prst="rect">
                          <a:avLst/>
                        </a:prstGeom>
                        <a:solidFill>
                          <a:sysClr val="window" lastClr="FFFFFF"/>
                        </a:solidFill>
                        <a:ln w="6350">
                          <a:noFill/>
                        </a:ln>
                      </wps:spPr>
                      <wps:txbx>
                        <w:txbxContent>
                          <w:p w14:paraId="7613AD59" w14:textId="732B290F" w:rsidR="00B7468D" w:rsidRPr="00BC6095" w:rsidRDefault="00B7468D" w:rsidP="001202DA">
                            <w:pPr>
                              <w:jc w:val="both"/>
                              <w:rPr>
                                <w:rFonts w:ascii="Century Gothic" w:hAnsi="Century Gothic"/>
                                <w:color w:val="000000" w:themeColor="text1"/>
                                <w:sz w:val="18"/>
                                <w:szCs w:val="18"/>
                              </w:rPr>
                            </w:pPr>
                            <w:r w:rsidRPr="00BC6095">
                              <w:rPr>
                                <w:rFonts w:ascii="Century Gothic" w:hAnsi="Century Gothic"/>
                                <w:color w:val="000000" w:themeColor="text1"/>
                                <w:sz w:val="18"/>
                                <w:szCs w:val="18"/>
                                <w:shd w:val="clear" w:color="auto" w:fill="FFFFFF"/>
                              </w:rPr>
                              <w:t xml:space="preserve">This project has received funding from the European Union’s Horizon </w:t>
                            </w:r>
                            <w:r>
                              <w:rPr>
                                <w:rFonts w:ascii="Century Gothic" w:hAnsi="Century Gothic"/>
                                <w:color w:val="000000" w:themeColor="text1"/>
                                <w:sz w:val="18"/>
                                <w:szCs w:val="18"/>
                                <w:shd w:val="clear" w:color="auto" w:fill="FFFFFF"/>
                              </w:rPr>
                              <w:t>Europe</w:t>
                            </w:r>
                            <w:r w:rsidRPr="00BC6095">
                              <w:rPr>
                                <w:rFonts w:ascii="Century Gothic" w:hAnsi="Century Gothic"/>
                                <w:color w:val="000000" w:themeColor="text1"/>
                                <w:sz w:val="18"/>
                                <w:szCs w:val="18"/>
                                <w:shd w:val="clear" w:color="auto" w:fill="FFFFFF"/>
                              </w:rPr>
                              <w:t xml:space="preserve"> research and innovation programme under grant agreement No </w:t>
                            </w:r>
                            <w:r w:rsidRPr="005A59C3">
                              <w:rPr>
                                <w:rFonts w:ascii="Century Gothic" w:hAnsi="Century Gothic"/>
                                <w:color w:val="000000" w:themeColor="text1"/>
                                <w:sz w:val="18"/>
                                <w:szCs w:val="18"/>
                                <w:shd w:val="clear" w:color="auto" w:fill="FFFFFF"/>
                              </w:rPr>
                              <w:t>101094718</w:t>
                            </w:r>
                            <w:r w:rsidRPr="00BC6095">
                              <w:rPr>
                                <w:rFonts w:ascii="Century Gothic" w:hAnsi="Century Gothic"/>
                                <w:color w:val="000000" w:themeColor="text1"/>
                                <w:sz w:val="18"/>
                                <w:szCs w:val="18"/>
                                <w:shd w:val="clear" w:color="auto" w:fill="FFFFFF"/>
                              </w:rPr>
                              <w:t>. The content of this report reflects only the author’s view. The European Commission is not responsible for any use that may be made of the information it contains.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E7D6B1" id="_x0000_t202" coordsize="21600,21600" o:spt="202" path="m,l,21600r21600,l21600,xe">
                <v:stroke joinstyle="miter"/>
                <v:path gradientshapeok="t" o:connecttype="rect"/>
              </v:shapetype>
              <v:shape id="Text Box 5" o:spid="_x0000_s1026" type="#_x0000_t202" style="position:absolute;left:0;text-align:left;margin-left:418.6pt;margin-top:11.2pt;width:469.8pt;height:57.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8ndmNgIAAGUEAAAOAAAAZHJzL2Uyb0RvYy54bWysVE1vGjEQvVfqf7B8LwsESINYIkpEVSlK&#13;&#10;IpEqZ+P1wkpej2sbdumv77P5bNpTVQ5mPDOej/dmdnLf1prtlPMVmZz3Ol3OlJFUVGad8++vi0+f&#13;&#10;OfNBmEJoMirne+X5/fTjh0ljx6pPG9KFcgxBjB83NuebEOw4y7zcqFr4DlllYCzJ1SLg6tZZ4USD&#13;&#10;6LXO+t3uKGvIFdaRVN5D+3Aw8mmKX5ZKhuey9CownXPUFtLp0rmKZzadiPHaCbup5LEM8Q9V1KIy&#13;&#10;SHoO9SCCYFtX/RGqrqQjT2XoSKozKstKqtQDuul133Wz3AirUi8Ax9szTP7/hZVPu6V9cSy0X6gF&#13;&#10;gRGQxvqxhzL205aujv+olMEOCPdn2FQbmIRyeDcaDUYwSdhub3rDfsI1u7y2zoevimoWhZw70JLQ&#13;&#10;ErtHH5ARrieXmMyTropFpXW67P1cO7YTYBDEF9RwpoUPUOZ8kX6xaIT47Zk2rMn56GbYTZkMxXgH&#13;&#10;P23gfmkySqFdtcfOV1TsAYijw6x4KxcVqn5EyhfhMBxoFAMfnnGUmpCEjhJnG3I//6aP/uAMVs4a&#13;&#10;DFvO/Y+tcAqdfDNg8643GMTpTJfB8BYAMndtWV1bzLaeE9DoYbWsTGL0D/oklo7qN+zFLGaFSRiJ&#13;&#10;3DkPJ3EeDiuAvZJqNktOmEcrwqNZWhlDR+gjJ6/tm3D2SFwA5U90GksxfsffwTe+NDTbBiqrRG4E&#13;&#10;+IDqEXfMciLsuHdxWa7vyevydZj+AgAA//8DAFBLAwQUAAYACAAAACEAua+WkeUAAAAMAQAADwAA&#13;&#10;AGRycy9kb3ducmV2LnhtbEyPT0vDQBDF74LfYRnBm92YSrRpNkX8gxYM1Sh43WbHJJqdDdltE/vp&#13;&#10;HU96GRjemzfvl60m24k9Dr51pOB8FoFAqpxpqVbw9np/dgXCB01Gd45QwTd6WOXHR5lOjRvpBfdl&#13;&#10;qAWHkE+1giaEPpXSVw1a7WeuR2Ltww1WB16HWppBjxxuOxlHUSKtbok/NLrHmwarr3JnFbyP5cOw&#13;&#10;Wa8/n/vH4rA5lMUT3hVKnZ5Mt0se10sQAafwdwG/DNwfci62dTsyXnQKmCYoiOMLEKwu5osExJZt&#13;&#10;88sEZJ7J/xD5DwAAAP//AwBQSwECLQAUAAYACAAAACEAtoM4kv4AAADhAQAAEwAAAAAAAAAAAAAA&#13;&#10;AAAAAAAAW0NvbnRlbnRfVHlwZXNdLnhtbFBLAQItABQABgAIAAAAIQA4/SH/1gAAAJQBAAALAAAA&#13;&#10;AAAAAAAAAAAAAC8BAABfcmVscy8ucmVsc1BLAQItABQABgAIAAAAIQAQ8ndmNgIAAGUEAAAOAAAA&#13;&#10;AAAAAAAAAAAAAC4CAABkcnMvZTJvRG9jLnhtbFBLAQItABQABgAIAAAAIQC5r5aR5QAAAAwBAAAP&#13;&#10;AAAAAAAAAAAAAAAAAJAEAABkcnMvZG93bnJldi54bWxQSwUGAAAAAAQABADzAAAAogUAAAAA&#13;&#10;" fillcolor="window" stroked="f" strokeweight=".5pt">
                <v:textbox>
                  <w:txbxContent>
                    <w:p w14:paraId="7613AD59" w14:textId="732B290F" w:rsidR="00B7468D" w:rsidRPr="00BC6095" w:rsidRDefault="00B7468D" w:rsidP="001202DA">
                      <w:pPr>
                        <w:jc w:val="both"/>
                        <w:rPr>
                          <w:rFonts w:ascii="Century Gothic" w:hAnsi="Century Gothic"/>
                          <w:color w:val="000000" w:themeColor="text1"/>
                          <w:sz w:val="18"/>
                          <w:szCs w:val="18"/>
                        </w:rPr>
                      </w:pPr>
                      <w:r w:rsidRPr="00BC6095">
                        <w:rPr>
                          <w:rFonts w:ascii="Century Gothic" w:hAnsi="Century Gothic"/>
                          <w:color w:val="000000" w:themeColor="text1"/>
                          <w:sz w:val="18"/>
                          <w:szCs w:val="18"/>
                          <w:shd w:val="clear" w:color="auto" w:fill="FFFFFF"/>
                        </w:rPr>
                        <w:t xml:space="preserve">This project has received funding from the European Union’s Horizon </w:t>
                      </w:r>
                      <w:r>
                        <w:rPr>
                          <w:rFonts w:ascii="Century Gothic" w:hAnsi="Century Gothic"/>
                          <w:color w:val="000000" w:themeColor="text1"/>
                          <w:sz w:val="18"/>
                          <w:szCs w:val="18"/>
                          <w:shd w:val="clear" w:color="auto" w:fill="FFFFFF"/>
                        </w:rPr>
                        <w:t>Europe</w:t>
                      </w:r>
                      <w:r w:rsidRPr="00BC6095">
                        <w:rPr>
                          <w:rFonts w:ascii="Century Gothic" w:hAnsi="Century Gothic"/>
                          <w:color w:val="000000" w:themeColor="text1"/>
                          <w:sz w:val="18"/>
                          <w:szCs w:val="18"/>
                          <w:shd w:val="clear" w:color="auto" w:fill="FFFFFF"/>
                        </w:rPr>
                        <w:t xml:space="preserve"> research and innovation programme under grant agreement No </w:t>
                      </w:r>
                      <w:r w:rsidRPr="005A59C3">
                        <w:rPr>
                          <w:rFonts w:ascii="Century Gothic" w:hAnsi="Century Gothic"/>
                          <w:color w:val="000000" w:themeColor="text1"/>
                          <w:sz w:val="18"/>
                          <w:szCs w:val="18"/>
                          <w:shd w:val="clear" w:color="auto" w:fill="FFFFFF"/>
                        </w:rPr>
                        <w:t>101094718</w:t>
                      </w:r>
                      <w:r w:rsidRPr="00BC6095">
                        <w:rPr>
                          <w:rFonts w:ascii="Century Gothic" w:hAnsi="Century Gothic"/>
                          <w:color w:val="000000" w:themeColor="text1"/>
                          <w:sz w:val="18"/>
                          <w:szCs w:val="18"/>
                          <w:shd w:val="clear" w:color="auto" w:fill="FFFFFF"/>
                        </w:rPr>
                        <w:t>. The content of this report reflects only the author’s view. The European Commission is not responsible for any use that may be made of the information it contains.</w:t>
                      </w:r>
                    </w:p>
                  </w:txbxContent>
                </v:textbox>
                <w10:wrap anchorx="margin"/>
              </v:shape>
            </w:pict>
          </mc:Fallback>
        </mc:AlternateContent>
      </w:r>
    </w:p>
    <w:p w14:paraId="6C00B026" w14:textId="77777777" w:rsidR="001202DA" w:rsidRPr="0014556C" w:rsidRDefault="001202DA" w:rsidP="001202DA">
      <w:pPr>
        <w:rPr>
          <w:rFonts w:asciiTheme="majorHAnsi" w:hAnsiTheme="majorHAnsi" w:cstheme="majorHAnsi"/>
        </w:rPr>
      </w:pPr>
      <w:r w:rsidRPr="0014556C">
        <w:rPr>
          <w:rFonts w:asciiTheme="majorHAnsi" w:hAnsiTheme="majorHAnsi" w:cstheme="majorHAnsi"/>
        </w:rPr>
        <w:br w:type="page"/>
      </w:r>
    </w:p>
    <w:p w14:paraId="717281DC" w14:textId="77777777" w:rsidR="001202DA" w:rsidRPr="0014556C" w:rsidRDefault="001202DA" w:rsidP="001202DA">
      <w:pPr>
        <w:rPr>
          <w:rFonts w:asciiTheme="majorHAnsi" w:hAnsiTheme="majorHAnsi" w:cstheme="majorHAnsi"/>
          <w:color w:val="000000" w:themeColor="text1"/>
        </w:rPr>
      </w:pPr>
      <w:r w:rsidRPr="0014556C">
        <w:rPr>
          <w:rFonts w:asciiTheme="majorHAnsi" w:eastAsia="Century Gothic" w:hAnsiTheme="majorHAnsi" w:cstheme="majorHAnsi"/>
          <w:b/>
          <w:color w:val="000000" w:themeColor="text1"/>
        </w:rPr>
        <w:lastRenderedPageBreak/>
        <w:t>DOCUMENT CONTROL SHEET</w:t>
      </w:r>
    </w:p>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5760"/>
      </w:tblGrid>
      <w:tr w:rsidR="001202DA" w:rsidRPr="0014556C" w14:paraId="114F424F" w14:textId="77777777" w:rsidTr="00B7468D">
        <w:trPr>
          <w:trHeight w:val="440"/>
        </w:trPr>
        <w:tc>
          <w:tcPr>
            <w:tcW w:w="3256" w:type="dxa"/>
            <w:shd w:val="clear" w:color="auto" w:fill="404D5E"/>
            <w:vAlign w:val="center"/>
          </w:tcPr>
          <w:p w14:paraId="50ECD007"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Deliverable name</w:t>
            </w:r>
          </w:p>
        </w:tc>
        <w:tc>
          <w:tcPr>
            <w:tcW w:w="5760" w:type="dxa"/>
            <w:vAlign w:val="center"/>
          </w:tcPr>
          <w:p w14:paraId="27F5872B" w14:textId="5E57B1EB" w:rsidR="001202DA" w:rsidRPr="0014556C" w:rsidRDefault="00AC00D5" w:rsidP="001202DA">
            <w:pPr>
              <w:rPr>
                <w:rFonts w:asciiTheme="majorHAnsi" w:eastAsia="Century Gothic" w:hAnsiTheme="majorHAnsi" w:cstheme="majorHAnsi"/>
                <w:b/>
                <w:bCs/>
                <w:color w:val="000000" w:themeColor="text1"/>
                <w:sz w:val="22"/>
                <w:szCs w:val="22"/>
              </w:rPr>
            </w:pPr>
            <w:r w:rsidRPr="0014556C">
              <w:rPr>
                <w:rFonts w:asciiTheme="majorHAnsi" w:eastAsia="Century Gothic" w:hAnsiTheme="majorHAnsi" w:cstheme="majorHAnsi"/>
                <w:b/>
                <w:bCs/>
                <w:color w:val="000000" w:themeColor="text1"/>
                <w:sz w:val="22"/>
                <w:szCs w:val="22"/>
              </w:rPr>
              <w:t xml:space="preserve">A framework for access to high-throughput phenotyping (HTP) platforms for the validation of candidate causal variants </w:t>
            </w:r>
          </w:p>
        </w:tc>
      </w:tr>
      <w:tr w:rsidR="001202DA" w:rsidRPr="0014556C" w14:paraId="7C57D55B" w14:textId="77777777" w:rsidTr="00B7468D">
        <w:trPr>
          <w:trHeight w:val="440"/>
        </w:trPr>
        <w:tc>
          <w:tcPr>
            <w:tcW w:w="3256" w:type="dxa"/>
            <w:shd w:val="clear" w:color="auto" w:fill="404D5E"/>
            <w:vAlign w:val="center"/>
          </w:tcPr>
          <w:p w14:paraId="28AF8154"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Deliverable number</w:t>
            </w:r>
          </w:p>
        </w:tc>
        <w:tc>
          <w:tcPr>
            <w:tcW w:w="5760" w:type="dxa"/>
            <w:vAlign w:val="center"/>
          </w:tcPr>
          <w:p w14:paraId="700148EE" w14:textId="7FD6F56C" w:rsidR="001202DA" w:rsidRPr="0014556C" w:rsidRDefault="00EE4550" w:rsidP="001202DA">
            <w:pPr>
              <w:rPr>
                <w:rFonts w:asciiTheme="majorHAnsi" w:eastAsia="Century Gothic" w:hAnsiTheme="majorHAnsi" w:cstheme="majorHAnsi"/>
                <w:color w:val="000000" w:themeColor="text1"/>
                <w:sz w:val="22"/>
                <w:szCs w:val="22"/>
              </w:rPr>
            </w:pPr>
            <w:r w:rsidRPr="0014556C">
              <w:rPr>
                <w:rFonts w:asciiTheme="majorHAnsi" w:eastAsia="Century Gothic" w:hAnsiTheme="majorHAnsi" w:cstheme="majorHAnsi"/>
                <w:color w:val="000000" w:themeColor="text1"/>
                <w:sz w:val="22"/>
                <w:szCs w:val="22"/>
              </w:rPr>
              <w:t>D5.</w:t>
            </w:r>
            <w:r w:rsidR="00AC00D5" w:rsidRPr="0014556C">
              <w:rPr>
                <w:rFonts w:asciiTheme="majorHAnsi" w:eastAsia="Century Gothic" w:hAnsiTheme="majorHAnsi" w:cstheme="majorHAnsi"/>
                <w:color w:val="000000" w:themeColor="text1"/>
                <w:sz w:val="22"/>
                <w:szCs w:val="22"/>
              </w:rPr>
              <w:t>1</w:t>
            </w:r>
          </w:p>
        </w:tc>
      </w:tr>
      <w:tr w:rsidR="001202DA" w:rsidRPr="0014556C" w14:paraId="5F9BB9FB" w14:textId="77777777" w:rsidTr="00B7468D">
        <w:trPr>
          <w:trHeight w:val="440"/>
        </w:trPr>
        <w:tc>
          <w:tcPr>
            <w:tcW w:w="3256" w:type="dxa"/>
            <w:shd w:val="clear" w:color="auto" w:fill="404D5E"/>
            <w:vAlign w:val="center"/>
          </w:tcPr>
          <w:p w14:paraId="50A110D9"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Partners providing input to this Deliverable</w:t>
            </w:r>
          </w:p>
        </w:tc>
        <w:tc>
          <w:tcPr>
            <w:tcW w:w="5760" w:type="dxa"/>
            <w:vAlign w:val="center"/>
          </w:tcPr>
          <w:p w14:paraId="4E103A5C" w14:textId="0E6A2D69" w:rsidR="001202DA" w:rsidRPr="0014556C" w:rsidRDefault="00EE4550" w:rsidP="001202DA">
            <w:pPr>
              <w:rPr>
                <w:rFonts w:asciiTheme="majorHAnsi" w:eastAsia="Century Gothic" w:hAnsiTheme="majorHAnsi" w:cstheme="majorHAnsi"/>
                <w:color w:val="000000" w:themeColor="text1"/>
                <w:sz w:val="22"/>
                <w:szCs w:val="22"/>
                <w:lang w:val="de-DE"/>
              </w:rPr>
            </w:pPr>
            <w:r w:rsidRPr="0014556C">
              <w:rPr>
                <w:rFonts w:asciiTheme="majorHAnsi" w:eastAsia="Century Gothic" w:hAnsiTheme="majorHAnsi" w:cstheme="majorHAnsi"/>
                <w:color w:val="000000" w:themeColor="text1"/>
                <w:sz w:val="22"/>
                <w:szCs w:val="22"/>
                <w:lang w:val="de-DE"/>
              </w:rPr>
              <w:t>UEDIN</w:t>
            </w:r>
            <w:r w:rsidR="00AC00D5" w:rsidRPr="0014556C">
              <w:rPr>
                <w:rFonts w:asciiTheme="majorHAnsi" w:eastAsia="Century Gothic" w:hAnsiTheme="majorHAnsi" w:cstheme="majorHAnsi"/>
                <w:color w:val="000000" w:themeColor="text1"/>
                <w:sz w:val="22"/>
                <w:szCs w:val="22"/>
                <w:lang w:val="de-DE"/>
              </w:rPr>
              <w:t>, EFFAB</w:t>
            </w:r>
          </w:p>
        </w:tc>
      </w:tr>
      <w:tr w:rsidR="001202DA" w:rsidRPr="0014556C" w14:paraId="1401470F" w14:textId="77777777" w:rsidTr="00B7468D">
        <w:trPr>
          <w:trHeight w:val="440"/>
        </w:trPr>
        <w:tc>
          <w:tcPr>
            <w:tcW w:w="3256" w:type="dxa"/>
            <w:shd w:val="clear" w:color="auto" w:fill="404D5E"/>
            <w:vAlign w:val="center"/>
          </w:tcPr>
          <w:p w14:paraId="743AB4DC"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 xml:space="preserve">Draft final version </w:t>
            </w:r>
            <w:r w:rsidRPr="0014556C">
              <w:rPr>
                <w:rFonts w:asciiTheme="majorHAnsi" w:eastAsia="Century Gothic" w:hAnsiTheme="majorHAnsi" w:cstheme="majorHAnsi"/>
                <w:color w:val="FFFFFF"/>
                <w:sz w:val="22"/>
                <w:szCs w:val="22"/>
              </w:rPr>
              <w:br/>
              <w:t>circulated by lead party to:</w:t>
            </w:r>
          </w:p>
          <w:p w14:paraId="0B396498" w14:textId="77777777" w:rsidR="001202DA" w:rsidRPr="0014556C" w:rsidRDefault="001202DA" w:rsidP="00E6450E">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On date</w:t>
            </w:r>
          </w:p>
        </w:tc>
        <w:tc>
          <w:tcPr>
            <w:tcW w:w="5760" w:type="dxa"/>
            <w:vAlign w:val="center"/>
          </w:tcPr>
          <w:p w14:paraId="5F387585" w14:textId="061F2410" w:rsidR="001202DA" w:rsidRPr="0014556C" w:rsidRDefault="00761762" w:rsidP="00EE4550">
            <w:pPr>
              <w:contextualSpacing/>
              <w:rPr>
                <w:rFonts w:asciiTheme="majorHAnsi" w:eastAsia="Century Gothic" w:hAnsiTheme="majorHAnsi" w:cstheme="majorHAnsi"/>
                <w:color w:val="000000" w:themeColor="text1"/>
                <w:szCs w:val="22"/>
              </w:rPr>
            </w:pPr>
            <w:r w:rsidRPr="0014556C">
              <w:rPr>
                <w:rFonts w:asciiTheme="majorHAnsi" w:eastAsia="Century Gothic" w:hAnsiTheme="majorHAnsi" w:cstheme="majorHAnsi"/>
                <w:color w:val="000000" w:themeColor="text1"/>
                <w:szCs w:val="22"/>
              </w:rPr>
              <w:t>All partners in WP or task</w:t>
            </w:r>
            <w:r w:rsidR="00756CDF" w:rsidRPr="0014556C">
              <w:rPr>
                <w:rFonts w:asciiTheme="majorHAnsi" w:eastAsia="Century Gothic" w:hAnsiTheme="majorHAnsi" w:cstheme="majorHAnsi"/>
                <w:color w:val="000000" w:themeColor="text1"/>
                <w:szCs w:val="22"/>
              </w:rPr>
              <w:t xml:space="preserve"> on</w:t>
            </w:r>
            <w:r w:rsidR="00284822" w:rsidRPr="0014556C">
              <w:rPr>
                <w:rFonts w:asciiTheme="majorHAnsi" w:eastAsia="Century Gothic" w:hAnsiTheme="majorHAnsi" w:cstheme="majorHAnsi"/>
                <w:color w:val="000000" w:themeColor="text1"/>
                <w:szCs w:val="22"/>
              </w:rPr>
              <w:t xml:space="preserve"> 202</w:t>
            </w:r>
            <w:r w:rsidR="00AC00D5" w:rsidRPr="0014556C">
              <w:rPr>
                <w:rFonts w:asciiTheme="majorHAnsi" w:eastAsia="Century Gothic" w:hAnsiTheme="majorHAnsi" w:cstheme="majorHAnsi"/>
                <w:color w:val="000000" w:themeColor="text1"/>
                <w:szCs w:val="22"/>
              </w:rPr>
              <w:t>4-06-26</w:t>
            </w:r>
          </w:p>
        </w:tc>
      </w:tr>
      <w:tr w:rsidR="001202DA" w:rsidRPr="0014556C" w14:paraId="0AFA23B5" w14:textId="77777777" w:rsidTr="00B7468D">
        <w:trPr>
          <w:trHeight w:val="440"/>
        </w:trPr>
        <w:tc>
          <w:tcPr>
            <w:tcW w:w="3256" w:type="dxa"/>
            <w:shd w:val="clear" w:color="auto" w:fill="404D5E"/>
            <w:vAlign w:val="center"/>
          </w:tcPr>
          <w:p w14:paraId="100FD8D4"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 xml:space="preserve">Approved </w:t>
            </w:r>
            <w:proofErr w:type="gramStart"/>
            <w:r w:rsidRPr="0014556C">
              <w:rPr>
                <w:rFonts w:asciiTheme="majorHAnsi" w:eastAsia="Century Gothic" w:hAnsiTheme="majorHAnsi" w:cstheme="majorHAnsi"/>
                <w:color w:val="FFFFFF"/>
                <w:sz w:val="22"/>
                <w:szCs w:val="22"/>
              </w:rPr>
              <w:t>by  (</w:t>
            </w:r>
            <w:proofErr w:type="gramEnd"/>
            <w:r w:rsidRPr="0014556C">
              <w:rPr>
                <w:rFonts w:asciiTheme="majorHAnsi" w:eastAsia="Century Gothic" w:hAnsiTheme="majorHAnsi" w:cstheme="majorHAnsi"/>
                <w:color w:val="FFFFFF"/>
                <w:sz w:val="22"/>
                <w:szCs w:val="22"/>
              </w:rPr>
              <w:t>on date)</w:t>
            </w:r>
          </w:p>
        </w:tc>
        <w:tc>
          <w:tcPr>
            <w:tcW w:w="5760" w:type="dxa"/>
            <w:vAlign w:val="center"/>
          </w:tcPr>
          <w:p w14:paraId="4AFDF057" w14:textId="5158E69C" w:rsidR="001202DA" w:rsidRPr="0014556C" w:rsidRDefault="00761762" w:rsidP="00E45F00">
            <w:pPr>
              <w:rPr>
                <w:rFonts w:asciiTheme="majorHAnsi" w:eastAsia="Century Gothic" w:hAnsiTheme="majorHAnsi" w:cstheme="majorHAnsi"/>
                <w:color w:val="000000" w:themeColor="text1"/>
                <w:szCs w:val="22"/>
              </w:rPr>
            </w:pPr>
            <w:r w:rsidRPr="0014556C">
              <w:rPr>
                <w:rFonts w:asciiTheme="majorHAnsi" w:eastAsia="Century Gothic" w:hAnsiTheme="majorHAnsi" w:cstheme="majorHAnsi"/>
                <w:color w:val="000000" w:themeColor="text1"/>
                <w:szCs w:val="22"/>
                <w:lang w:val="es-ES"/>
              </w:rPr>
              <w:t xml:space="preserve">FBN as </w:t>
            </w:r>
            <w:proofErr w:type="spellStart"/>
            <w:proofErr w:type="gramStart"/>
            <w:r w:rsidRPr="0014556C">
              <w:rPr>
                <w:rFonts w:asciiTheme="majorHAnsi" w:eastAsia="Century Gothic" w:hAnsiTheme="majorHAnsi" w:cstheme="majorHAnsi"/>
                <w:color w:val="000000" w:themeColor="text1"/>
                <w:szCs w:val="22"/>
                <w:lang w:val="es-ES"/>
              </w:rPr>
              <w:t>Coordinator</w:t>
            </w:r>
            <w:proofErr w:type="spellEnd"/>
            <w:r w:rsidRPr="0014556C">
              <w:rPr>
                <w:rFonts w:asciiTheme="majorHAnsi" w:eastAsia="Century Gothic" w:hAnsiTheme="majorHAnsi" w:cstheme="majorHAnsi"/>
                <w:color w:val="000000" w:themeColor="text1"/>
                <w:szCs w:val="22"/>
                <w:lang w:val="es-ES"/>
              </w:rPr>
              <w:t xml:space="preserve">  (</w:t>
            </w:r>
            <w:proofErr w:type="gramEnd"/>
            <w:r w:rsidR="00194EB9" w:rsidRPr="0014556C">
              <w:rPr>
                <w:rFonts w:asciiTheme="majorHAnsi" w:eastAsia="Century Gothic" w:hAnsiTheme="majorHAnsi" w:cstheme="majorHAnsi"/>
                <w:color w:val="000000" w:themeColor="text1"/>
                <w:szCs w:val="22"/>
              </w:rPr>
              <w:t>2024-06-</w:t>
            </w:r>
            <w:r w:rsidR="00194EB9" w:rsidRPr="0014556C">
              <w:rPr>
                <w:rFonts w:asciiTheme="majorHAnsi" w:eastAsia="Century Gothic" w:hAnsiTheme="majorHAnsi" w:cstheme="majorHAnsi"/>
                <w:color w:val="000000" w:themeColor="text1"/>
                <w:szCs w:val="22"/>
              </w:rPr>
              <w:t>28)</w:t>
            </w:r>
          </w:p>
        </w:tc>
      </w:tr>
      <w:tr w:rsidR="001202DA" w:rsidRPr="0014556C" w14:paraId="16E6A8D4" w14:textId="77777777" w:rsidTr="00B7468D">
        <w:trPr>
          <w:trHeight w:val="440"/>
        </w:trPr>
        <w:tc>
          <w:tcPr>
            <w:tcW w:w="3256" w:type="dxa"/>
            <w:shd w:val="clear" w:color="auto" w:fill="404D5E"/>
            <w:vAlign w:val="center"/>
          </w:tcPr>
          <w:p w14:paraId="39389206"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Work package no</w:t>
            </w:r>
          </w:p>
        </w:tc>
        <w:tc>
          <w:tcPr>
            <w:tcW w:w="5760" w:type="dxa"/>
            <w:vAlign w:val="center"/>
          </w:tcPr>
          <w:p w14:paraId="4A46BDA8" w14:textId="1A96252C" w:rsidR="001202DA" w:rsidRPr="0014556C" w:rsidRDefault="00C91458" w:rsidP="001202DA">
            <w:pPr>
              <w:rPr>
                <w:rFonts w:asciiTheme="majorHAnsi" w:eastAsia="Century Gothic" w:hAnsiTheme="majorHAnsi" w:cstheme="majorHAnsi"/>
                <w:color w:val="000000" w:themeColor="text1"/>
                <w:sz w:val="22"/>
                <w:szCs w:val="22"/>
              </w:rPr>
            </w:pPr>
            <w:r w:rsidRPr="0014556C">
              <w:rPr>
                <w:rFonts w:asciiTheme="majorHAnsi" w:eastAsia="Century Gothic" w:hAnsiTheme="majorHAnsi" w:cstheme="majorHAnsi"/>
                <w:color w:val="000000" w:themeColor="text1"/>
                <w:sz w:val="22"/>
                <w:szCs w:val="22"/>
              </w:rPr>
              <w:t>5</w:t>
            </w:r>
          </w:p>
        </w:tc>
      </w:tr>
      <w:tr w:rsidR="001202DA" w:rsidRPr="0014556C" w14:paraId="34DC6FE6" w14:textId="77777777" w:rsidTr="00B7468D">
        <w:trPr>
          <w:trHeight w:val="440"/>
        </w:trPr>
        <w:tc>
          <w:tcPr>
            <w:tcW w:w="3256" w:type="dxa"/>
            <w:shd w:val="clear" w:color="auto" w:fill="404D5E"/>
            <w:vAlign w:val="center"/>
          </w:tcPr>
          <w:p w14:paraId="29E79BD8" w14:textId="77777777" w:rsidR="001202DA" w:rsidRPr="0014556C" w:rsidRDefault="001202DA" w:rsidP="001202DA">
            <w:pP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Dissemination level</w:t>
            </w:r>
          </w:p>
        </w:tc>
        <w:tc>
          <w:tcPr>
            <w:tcW w:w="5760" w:type="dxa"/>
            <w:vAlign w:val="center"/>
          </w:tcPr>
          <w:p w14:paraId="3552643E" w14:textId="5488E848" w:rsidR="001202DA" w:rsidRPr="0014556C" w:rsidRDefault="00EE4550" w:rsidP="00E45F00">
            <w:pPr>
              <w:rPr>
                <w:rFonts w:asciiTheme="majorHAnsi" w:eastAsia="Century Gothic" w:hAnsiTheme="majorHAnsi" w:cstheme="majorHAnsi"/>
                <w:color w:val="000000" w:themeColor="text1"/>
                <w:sz w:val="22"/>
                <w:szCs w:val="22"/>
              </w:rPr>
            </w:pPr>
            <w:r w:rsidRPr="0014556C">
              <w:rPr>
                <w:rFonts w:asciiTheme="majorHAnsi" w:eastAsia="Century Gothic" w:hAnsiTheme="majorHAnsi" w:cstheme="majorHAnsi"/>
                <w:color w:val="000000" w:themeColor="text1"/>
                <w:szCs w:val="22"/>
              </w:rPr>
              <w:t>Public (PU)</w:t>
            </w:r>
          </w:p>
        </w:tc>
      </w:tr>
    </w:tbl>
    <w:p w14:paraId="07BD8813" w14:textId="77777777" w:rsidR="001202DA" w:rsidRPr="0014556C" w:rsidRDefault="001202DA" w:rsidP="001202DA">
      <w:pPr>
        <w:rPr>
          <w:rFonts w:asciiTheme="majorHAnsi" w:eastAsia="Century Gothic" w:hAnsiTheme="majorHAnsi" w:cstheme="majorHAnsi"/>
          <w:b/>
          <w:color w:val="404D5E"/>
        </w:rPr>
      </w:pPr>
    </w:p>
    <w:p w14:paraId="0D19F940" w14:textId="77777777" w:rsidR="001202DA" w:rsidRPr="0014556C" w:rsidRDefault="001202DA" w:rsidP="001202DA">
      <w:pPr>
        <w:rPr>
          <w:rFonts w:asciiTheme="majorHAnsi" w:eastAsia="Century Gothic" w:hAnsiTheme="majorHAnsi" w:cstheme="majorHAnsi"/>
          <w:b/>
          <w:color w:val="000000" w:themeColor="text1"/>
        </w:rPr>
      </w:pPr>
      <w:r w:rsidRPr="0014556C">
        <w:rPr>
          <w:rFonts w:asciiTheme="majorHAnsi" w:eastAsia="Century Gothic" w:hAnsiTheme="majorHAnsi" w:cstheme="majorHAnsi"/>
          <w:b/>
          <w:color w:val="000000" w:themeColor="text1"/>
        </w:rPr>
        <w:t>REVISION HISTORY</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1701"/>
        <w:gridCol w:w="3685"/>
        <w:gridCol w:w="1701"/>
      </w:tblGrid>
      <w:tr w:rsidR="001202DA" w:rsidRPr="0014556C" w14:paraId="2ABF82BB" w14:textId="77777777" w:rsidTr="00B7468D">
        <w:trPr>
          <w:trHeight w:val="440"/>
        </w:trPr>
        <w:tc>
          <w:tcPr>
            <w:tcW w:w="1980" w:type="dxa"/>
            <w:tcBorders>
              <w:bottom w:val="single" w:sz="4" w:space="0" w:color="000000"/>
            </w:tcBorders>
            <w:shd w:val="clear" w:color="auto" w:fill="404D5E"/>
            <w:vAlign w:val="center"/>
          </w:tcPr>
          <w:p w14:paraId="387BD681" w14:textId="77777777" w:rsidR="001202DA" w:rsidRPr="0014556C" w:rsidRDefault="001202DA" w:rsidP="001202DA">
            <w:pPr>
              <w:jc w:val="cente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Version number</w:t>
            </w:r>
          </w:p>
        </w:tc>
        <w:tc>
          <w:tcPr>
            <w:tcW w:w="1701" w:type="dxa"/>
            <w:tcBorders>
              <w:bottom w:val="single" w:sz="4" w:space="0" w:color="000000"/>
            </w:tcBorders>
            <w:shd w:val="clear" w:color="auto" w:fill="404D5E"/>
            <w:vAlign w:val="center"/>
          </w:tcPr>
          <w:p w14:paraId="01E0ECEE" w14:textId="77777777" w:rsidR="001202DA" w:rsidRPr="0014556C" w:rsidRDefault="001202DA" w:rsidP="001202DA">
            <w:pPr>
              <w:jc w:val="cente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Version date</w:t>
            </w:r>
          </w:p>
        </w:tc>
        <w:tc>
          <w:tcPr>
            <w:tcW w:w="3685" w:type="dxa"/>
            <w:shd w:val="clear" w:color="auto" w:fill="405463"/>
            <w:vAlign w:val="center"/>
          </w:tcPr>
          <w:p w14:paraId="2CEE26AD" w14:textId="77777777" w:rsidR="001202DA" w:rsidRPr="0014556C" w:rsidRDefault="001202DA" w:rsidP="001202DA">
            <w:pPr>
              <w:jc w:val="cente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Document name</w:t>
            </w:r>
          </w:p>
        </w:tc>
        <w:tc>
          <w:tcPr>
            <w:tcW w:w="1701" w:type="dxa"/>
            <w:shd w:val="clear" w:color="auto" w:fill="405463"/>
            <w:vAlign w:val="center"/>
          </w:tcPr>
          <w:p w14:paraId="474E87E0" w14:textId="77777777" w:rsidR="001202DA" w:rsidRPr="0014556C" w:rsidRDefault="001202DA" w:rsidP="001202DA">
            <w:pPr>
              <w:jc w:val="center"/>
              <w:rPr>
                <w:rFonts w:asciiTheme="majorHAnsi" w:eastAsia="Century Gothic" w:hAnsiTheme="majorHAnsi" w:cstheme="majorHAnsi"/>
                <w:color w:val="FFFFFF"/>
                <w:sz w:val="22"/>
                <w:szCs w:val="22"/>
              </w:rPr>
            </w:pPr>
            <w:r w:rsidRPr="0014556C">
              <w:rPr>
                <w:rFonts w:asciiTheme="majorHAnsi" w:eastAsia="Century Gothic" w:hAnsiTheme="majorHAnsi" w:cstheme="majorHAnsi"/>
                <w:color w:val="FFFFFF"/>
                <w:sz w:val="22"/>
                <w:szCs w:val="22"/>
              </w:rPr>
              <w:t xml:space="preserve">Lead partner </w:t>
            </w:r>
          </w:p>
        </w:tc>
      </w:tr>
      <w:tr w:rsidR="007C0D75" w:rsidRPr="0014556C" w14:paraId="16874F2C" w14:textId="77777777" w:rsidTr="00B7468D">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06F80F" w14:textId="3CFD4B3E" w:rsidR="007C0D75" w:rsidRPr="0014556C" w:rsidRDefault="00284822" w:rsidP="007C0D75">
            <w:pPr>
              <w:jc w:val="center"/>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V</w:t>
            </w:r>
            <w:r w:rsidR="007C0D75" w:rsidRPr="0014556C">
              <w:rPr>
                <w:rFonts w:asciiTheme="majorHAnsi" w:eastAsia="Century Gothic" w:hAnsiTheme="majorHAnsi" w:cstheme="majorHAnsi"/>
                <w:color w:val="000000" w:themeColor="text1"/>
              </w:rPr>
              <w:t>s</w:t>
            </w:r>
            <w:r w:rsidRPr="0014556C">
              <w:rPr>
                <w:rFonts w:asciiTheme="majorHAnsi" w:eastAsia="Century Gothic" w:hAnsiTheme="majorHAnsi" w:cstheme="majorHAnsi"/>
                <w:color w:val="000000" w:themeColor="text1"/>
              </w:rPr>
              <w:t>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670CCC" w14:textId="2601A493" w:rsidR="007C0D75" w:rsidRPr="0014556C" w:rsidRDefault="00284822" w:rsidP="007C0D75">
            <w:pPr>
              <w:jc w:val="center"/>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202</w:t>
            </w:r>
            <w:r w:rsidR="00AC00D5" w:rsidRPr="0014556C">
              <w:rPr>
                <w:rFonts w:asciiTheme="majorHAnsi" w:eastAsia="Century Gothic" w:hAnsiTheme="majorHAnsi" w:cstheme="majorHAnsi"/>
                <w:color w:val="000000" w:themeColor="text1"/>
              </w:rPr>
              <w:t>4</w:t>
            </w:r>
            <w:r w:rsidR="007C0D75" w:rsidRPr="0014556C">
              <w:rPr>
                <w:rFonts w:asciiTheme="majorHAnsi" w:eastAsia="Century Gothic" w:hAnsiTheme="majorHAnsi" w:cstheme="majorHAnsi"/>
                <w:color w:val="000000" w:themeColor="text1"/>
              </w:rPr>
              <w:t>-</w:t>
            </w:r>
            <w:r w:rsidR="00AC00D5" w:rsidRPr="0014556C">
              <w:rPr>
                <w:rFonts w:asciiTheme="majorHAnsi" w:eastAsia="Century Gothic" w:hAnsiTheme="majorHAnsi" w:cstheme="majorHAnsi"/>
                <w:color w:val="000000" w:themeColor="text1"/>
              </w:rPr>
              <w:t>06</w:t>
            </w:r>
            <w:r w:rsidR="007C0D75" w:rsidRPr="0014556C">
              <w:rPr>
                <w:rFonts w:asciiTheme="majorHAnsi" w:eastAsia="Century Gothic" w:hAnsiTheme="majorHAnsi" w:cstheme="majorHAnsi"/>
                <w:color w:val="000000" w:themeColor="text1"/>
              </w:rPr>
              <w:t>-</w:t>
            </w:r>
            <w:r w:rsidR="00AC00D5" w:rsidRPr="0014556C">
              <w:rPr>
                <w:rFonts w:asciiTheme="majorHAnsi" w:eastAsia="Century Gothic" w:hAnsiTheme="majorHAnsi" w:cstheme="majorHAnsi"/>
                <w:color w:val="000000" w:themeColor="text1"/>
              </w:rPr>
              <w:t>25</w:t>
            </w:r>
          </w:p>
        </w:tc>
        <w:tc>
          <w:tcPr>
            <w:tcW w:w="3685" w:type="dxa"/>
            <w:tcBorders>
              <w:left w:val="single" w:sz="4" w:space="0" w:color="000000"/>
            </w:tcBorders>
            <w:shd w:val="clear" w:color="auto" w:fill="auto"/>
            <w:vAlign w:val="center"/>
          </w:tcPr>
          <w:p w14:paraId="6A62D489" w14:textId="35C011A7" w:rsidR="007C0D75" w:rsidRPr="0014556C" w:rsidRDefault="007C0D75" w:rsidP="007C0D75">
            <w:pPr>
              <w:jc w:val="center"/>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D</w:t>
            </w:r>
            <w:r w:rsidR="00284822" w:rsidRPr="0014556C">
              <w:rPr>
                <w:rFonts w:asciiTheme="majorHAnsi" w:eastAsia="Century Gothic" w:hAnsiTheme="majorHAnsi" w:cstheme="majorHAnsi"/>
                <w:color w:val="000000" w:themeColor="text1"/>
              </w:rPr>
              <w:t>5.</w:t>
            </w:r>
            <w:r w:rsidR="00AC00D5" w:rsidRPr="0014556C">
              <w:rPr>
                <w:rFonts w:asciiTheme="majorHAnsi" w:eastAsia="Century Gothic" w:hAnsiTheme="majorHAnsi" w:cstheme="majorHAnsi"/>
                <w:color w:val="000000" w:themeColor="text1"/>
              </w:rPr>
              <w:t>1</w:t>
            </w:r>
            <w:r w:rsidR="00284822" w:rsidRPr="0014556C">
              <w:rPr>
                <w:rFonts w:asciiTheme="majorHAnsi" w:eastAsia="Century Gothic" w:hAnsiTheme="majorHAnsi" w:cstheme="majorHAnsi"/>
                <w:color w:val="000000" w:themeColor="text1"/>
              </w:rPr>
              <w:t xml:space="preserve"> – </w:t>
            </w:r>
            <w:r w:rsidR="00AC00D5" w:rsidRPr="0014556C">
              <w:rPr>
                <w:rFonts w:asciiTheme="majorHAnsi" w:eastAsia="Century Gothic" w:hAnsiTheme="majorHAnsi" w:cstheme="majorHAnsi"/>
                <w:color w:val="000000" w:themeColor="text1"/>
              </w:rPr>
              <w:t>A framework for access to HTP platforms</w:t>
            </w:r>
          </w:p>
        </w:tc>
        <w:tc>
          <w:tcPr>
            <w:tcW w:w="1701" w:type="dxa"/>
            <w:tcBorders>
              <w:left w:val="single" w:sz="4" w:space="0" w:color="000000"/>
            </w:tcBorders>
            <w:vAlign w:val="center"/>
          </w:tcPr>
          <w:p w14:paraId="6C80714C" w14:textId="721D426E" w:rsidR="007C0D75" w:rsidRPr="0014556C" w:rsidRDefault="00414E43" w:rsidP="007C0D75">
            <w:pPr>
              <w:jc w:val="center"/>
              <w:rPr>
                <w:rFonts w:asciiTheme="majorHAnsi" w:eastAsia="Century Gothic" w:hAnsiTheme="majorHAnsi" w:cstheme="majorHAnsi"/>
                <w:color w:val="000000" w:themeColor="text1"/>
                <w:sz w:val="22"/>
                <w:szCs w:val="22"/>
              </w:rPr>
            </w:pPr>
            <w:r w:rsidRPr="0014556C">
              <w:rPr>
                <w:rFonts w:asciiTheme="majorHAnsi" w:eastAsia="Century Gothic" w:hAnsiTheme="majorHAnsi" w:cstheme="majorHAnsi"/>
                <w:color w:val="000000" w:themeColor="text1"/>
                <w:sz w:val="22"/>
                <w:szCs w:val="22"/>
              </w:rPr>
              <w:t>UEDIN</w:t>
            </w:r>
          </w:p>
        </w:tc>
      </w:tr>
      <w:tr w:rsidR="001202DA" w:rsidRPr="0014556C" w14:paraId="3F9C287E" w14:textId="77777777" w:rsidTr="00B7468D">
        <w:trPr>
          <w:trHeight w:val="440"/>
        </w:trPr>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782D8D17" w14:textId="77777777" w:rsidR="001202DA" w:rsidRPr="0014556C" w:rsidRDefault="001202DA" w:rsidP="001202DA">
            <w:pPr>
              <w:jc w:val="center"/>
              <w:rPr>
                <w:rFonts w:asciiTheme="majorHAnsi" w:eastAsia="Century Gothic" w:hAnsiTheme="majorHAnsi" w:cstheme="majorHAnsi"/>
                <w:color w:val="000000" w:themeColor="text1"/>
                <w:sz w:val="22"/>
                <w:szCs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8AB42E" w14:textId="77777777" w:rsidR="001202DA" w:rsidRPr="0014556C" w:rsidRDefault="001202DA" w:rsidP="001202DA">
            <w:pPr>
              <w:jc w:val="center"/>
              <w:rPr>
                <w:rFonts w:asciiTheme="majorHAnsi" w:eastAsia="Century Gothic" w:hAnsiTheme="majorHAnsi" w:cstheme="majorHAnsi"/>
                <w:color w:val="000000" w:themeColor="text1"/>
                <w:sz w:val="22"/>
                <w:szCs w:val="22"/>
              </w:rPr>
            </w:pPr>
          </w:p>
        </w:tc>
        <w:tc>
          <w:tcPr>
            <w:tcW w:w="3685" w:type="dxa"/>
            <w:tcBorders>
              <w:left w:val="single" w:sz="4" w:space="0" w:color="000000"/>
            </w:tcBorders>
            <w:vAlign w:val="center"/>
          </w:tcPr>
          <w:p w14:paraId="122EEFE7" w14:textId="77777777" w:rsidR="001202DA" w:rsidRPr="0014556C" w:rsidRDefault="001202DA" w:rsidP="001202DA">
            <w:pPr>
              <w:jc w:val="center"/>
              <w:rPr>
                <w:rFonts w:asciiTheme="majorHAnsi" w:eastAsia="Century Gothic" w:hAnsiTheme="majorHAnsi" w:cstheme="majorHAnsi"/>
                <w:color w:val="000000" w:themeColor="text1"/>
                <w:sz w:val="22"/>
                <w:szCs w:val="22"/>
              </w:rPr>
            </w:pPr>
          </w:p>
        </w:tc>
        <w:tc>
          <w:tcPr>
            <w:tcW w:w="1701" w:type="dxa"/>
            <w:tcBorders>
              <w:left w:val="single" w:sz="4" w:space="0" w:color="000000"/>
            </w:tcBorders>
            <w:vAlign w:val="center"/>
          </w:tcPr>
          <w:p w14:paraId="2DB62452" w14:textId="77777777" w:rsidR="001202DA" w:rsidRPr="0014556C" w:rsidRDefault="001202DA" w:rsidP="001202DA">
            <w:pPr>
              <w:jc w:val="center"/>
              <w:rPr>
                <w:rFonts w:asciiTheme="majorHAnsi" w:eastAsia="Century Gothic" w:hAnsiTheme="majorHAnsi" w:cstheme="majorHAnsi"/>
                <w:color w:val="000000" w:themeColor="text1"/>
                <w:sz w:val="22"/>
                <w:szCs w:val="22"/>
              </w:rPr>
            </w:pPr>
          </w:p>
        </w:tc>
      </w:tr>
    </w:tbl>
    <w:p w14:paraId="64CA4748" w14:textId="77777777" w:rsidR="001202DA" w:rsidRPr="0014556C" w:rsidRDefault="001202DA" w:rsidP="001202DA">
      <w:pPr>
        <w:jc w:val="center"/>
        <w:rPr>
          <w:rFonts w:asciiTheme="majorHAnsi" w:eastAsia="Century Gothic" w:hAnsiTheme="majorHAnsi" w:cstheme="majorHAnsi"/>
          <w:b/>
          <w:color w:val="404D5E"/>
        </w:rPr>
      </w:pPr>
    </w:p>
    <w:p w14:paraId="3F1D895F" w14:textId="77777777" w:rsidR="001202DA" w:rsidRPr="0014556C" w:rsidRDefault="001202DA" w:rsidP="00D20910">
      <w:pPr>
        <w:rPr>
          <w:rFonts w:asciiTheme="majorHAnsi" w:hAnsiTheme="majorHAnsi" w:cstheme="majorHAnsi"/>
        </w:rPr>
      </w:pPr>
      <w:r w:rsidRPr="0014556C">
        <w:rPr>
          <w:rFonts w:asciiTheme="majorHAnsi" w:hAnsiTheme="majorHAnsi" w:cstheme="majorHAnsi"/>
        </w:rPr>
        <w:t xml:space="preserve">Changes with respect to the </w:t>
      </w:r>
      <w:proofErr w:type="spellStart"/>
      <w:r w:rsidRPr="0014556C">
        <w:rPr>
          <w:rFonts w:asciiTheme="majorHAnsi" w:hAnsiTheme="majorHAnsi" w:cstheme="majorHAnsi"/>
        </w:rPr>
        <w:t>DoA</w:t>
      </w:r>
      <w:proofErr w:type="spellEnd"/>
      <w:r w:rsidRPr="0014556C">
        <w:rPr>
          <w:rFonts w:asciiTheme="majorHAnsi" w:hAnsiTheme="majorHAnsi" w:cstheme="majorHAnsi"/>
        </w:rPr>
        <w:t xml:space="preserve"> (Description of Action)</w:t>
      </w:r>
    </w:p>
    <w:p w14:paraId="63E4A0FA" w14:textId="77777777" w:rsidR="00BB2F22" w:rsidRPr="0014556C" w:rsidRDefault="00BB2F22" w:rsidP="00D20910">
      <w:pPr>
        <w:rPr>
          <w:rFonts w:asciiTheme="majorHAnsi" w:hAnsiTheme="majorHAnsi" w:cstheme="majorHAnsi"/>
        </w:rPr>
      </w:pPr>
    </w:p>
    <w:p w14:paraId="1A8787BF" w14:textId="6AA6C27A" w:rsidR="007C0D75" w:rsidRPr="0014556C" w:rsidRDefault="009100D6" w:rsidP="009100D6">
      <w:pPr>
        <w:jc w:val="both"/>
        <w:rPr>
          <w:rFonts w:asciiTheme="majorHAnsi" w:hAnsiTheme="majorHAnsi" w:cstheme="majorHAnsi"/>
        </w:rPr>
      </w:pPr>
      <w:r w:rsidRPr="0014556C">
        <w:rPr>
          <w:rFonts w:asciiTheme="majorHAnsi" w:hAnsiTheme="majorHAnsi" w:cstheme="majorHAnsi"/>
        </w:rPr>
        <w:t xml:space="preserve">The first version of this deliverable meets the requirements of the </w:t>
      </w:r>
      <w:proofErr w:type="spellStart"/>
      <w:r w:rsidRPr="0014556C">
        <w:rPr>
          <w:rFonts w:asciiTheme="majorHAnsi" w:hAnsiTheme="majorHAnsi" w:cstheme="majorHAnsi"/>
        </w:rPr>
        <w:t>DoA</w:t>
      </w:r>
      <w:proofErr w:type="spellEnd"/>
      <w:r w:rsidRPr="0014556C">
        <w:rPr>
          <w:rFonts w:asciiTheme="majorHAnsi" w:hAnsiTheme="majorHAnsi" w:cstheme="majorHAnsi"/>
        </w:rPr>
        <w:t xml:space="preserve">. As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project progresses and </w:t>
      </w:r>
      <w:r w:rsidR="00AC00D5" w:rsidRPr="0014556C">
        <w:rPr>
          <w:rFonts w:asciiTheme="majorHAnsi" w:hAnsiTheme="majorHAnsi" w:cstheme="majorHAnsi"/>
        </w:rPr>
        <w:t>the capacity in Europe to use high throughput phenotyping platforms and CRISPR screens</w:t>
      </w:r>
      <w:r w:rsidRPr="0014556C">
        <w:rPr>
          <w:rFonts w:asciiTheme="majorHAnsi" w:hAnsiTheme="majorHAnsi" w:cstheme="majorHAnsi"/>
        </w:rPr>
        <w:t xml:space="preserve"> in farmed animals </w:t>
      </w:r>
      <w:r w:rsidR="00AC00D5" w:rsidRPr="0014556C">
        <w:rPr>
          <w:rFonts w:asciiTheme="majorHAnsi" w:hAnsiTheme="majorHAnsi" w:cstheme="majorHAnsi"/>
        </w:rPr>
        <w:t xml:space="preserve">increases </w:t>
      </w:r>
      <w:r w:rsidRPr="0014556C">
        <w:rPr>
          <w:rFonts w:asciiTheme="majorHAnsi" w:hAnsiTheme="majorHAnsi" w:cstheme="majorHAnsi"/>
        </w:rPr>
        <w:t>the deliverable will be updated annually.</w:t>
      </w:r>
    </w:p>
    <w:p w14:paraId="638F87A3" w14:textId="77777777" w:rsidR="001202DA" w:rsidRPr="0014556C" w:rsidRDefault="001202DA" w:rsidP="001202DA">
      <w:pPr>
        <w:rPr>
          <w:rFonts w:asciiTheme="majorHAnsi" w:eastAsia="Century Gothic" w:hAnsiTheme="majorHAnsi" w:cstheme="majorHAnsi"/>
          <w:b/>
          <w:color w:val="000000" w:themeColor="text1"/>
        </w:rPr>
      </w:pPr>
      <w:r w:rsidRPr="0014556C">
        <w:rPr>
          <w:rFonts w:asciiTheme="majorHAnsi" w:hAnsiTheme="majorHAnsi" w:cstheme="majorHAnsi"/>
          <w:color w:val="000000" w:themeColor="text1"/>
        </w:rPr>
        <w:br w:type="page"/>
      </w:r>
    </w:p>
    <w:p w14:paraId="254A21E2" w14:textId="745979A9" w:rsidR="004C535E" w:rsidRPr="0014556C" w:rsidRDefault="004C535E" w:rsidP="00F83328">
      <w:pPr>
        <w:jc w:val="center"/>
        <w:rPr>
          <w:rFonts w:asciiTheme="majorHAnsi" w:hAnsiTheme="majorHAnsi" w:cstheme="majorHAnsi"/>
          <w:b/>
          <w:bCs/>
          <w:color w:val="000000" w:themeColor="text1"/>
        </w:rPr>
      </w:pPr>
      <w:r w:rsidRPr="0014556C">
        <w:rPr>
          <w:rFonts w:asciiTheme="majorHAnsi" w:hAnsiTheme="majorHAnsi" w:cstheme="majorHAnsi"/>
          <w:b/>
          <w:bCs/>
          <w:color w:val="000000" w:themeColor="text1"/>
        </w:rPr>
        <w:lastRenderedPageBreak/>
        <w:t>Table of Content</w:t>
      </w:r>
    </w:p>
    <w:p w14:paraId="5F7B5922" w14:textId="77777777" w:rsidR="004C535E" w:rsidRPr="0014556C" w:rsidRDefault="004C535E">
      <w:pPr>
        <w:rPr>
          <w:rFonts w:asciiTheme="majorHAnsi" w:hAnsiTheme="majorHAnsi" w:cstheme="majorHAnsi"/>
          <w:color w:val="000000" w:themeColor="text1"/>
        </w:rPr>
      </w:pPr>
    </w:p>
    <w:sdt>
      <w:sdtPr>
        <w:rPr>
          <w:rFonts w:ascii="Times New Roman" w:eastAsia="Calibri" w:hAnsi="Times New Roman" w:cstheme="majorHAnsi"/>
          <w:b w:val="0"/>
          <w:color w:val="auto"/>
          <w:sz w:val="20"/>
          <w:szCs w:val="20"/>
          <w:lang w:val="it-IT" w:eastAsia="en-GB"/>
        </w:rPr>
        <w:id w:val="1716773811"/>
        <w:docPartObj>
          <w:docPartGallery w:val="Table of Contents"/>
          <w:docPartUnique/>
        </w:docPartObj>
      </w:sdtPr>
      <w:sdtEndPr>
        <w:rPr>
          <w:rFonts w:eastAsia="Times New Roman"/>
          <w:bCs/>
          <w:sz w:val="24"/>
          <w:szCs w:val="24"/>
          <w:lang w:val="en-GB"/>
        </w:rPr>
      </w:sdtEndPr>
      <w:sdtContent>
        <w:p w14:paraId="60419149" w14:textId="2A83E7A2" w:rsidR="00D06FCD" w:rsidRPr="0014556C" w:rsidRDefault="00D06FCD">
          <w:pPr>
            <w:pStyle w:val="TOCHeading"/>
            <w:rPr>
              <w:rFonts w:cstheme="majorHAnsi"/>
              <w:color w:val="auto"/>
              <w:sz w:val="24"/>
              <w:szCs w:val="24"/>
            </w:rPr>
          </w:pPr>
        </w:p>
        <w:p w14:paraId="273DBFEC" w14:textId="73541C94" w:rsidR="0014556C" w:rsidRPr="0014556C" w:rsidRDefault="00F83328">
          <w:pPr>
            <w:pStyle w:val="TOC1"/>
            <w:rPr>
              <w:rFonts w:asciiTheme="majorHAnsi" w:eastAsiaTheme="minorEastAsia" w:hAnsiTheme="majorHAnsi" w:cstheme="majorHAnsi"/>
              <w:b w:val="0"/>
              <w:noProof/>
              <w:kern w:val="2"/>
              <w14:ligatures w14:val="standardContextual"/>
            </w:rPr>
          </w:pPr>
          <w:r w:rsidRPr="0014556C">
            <w:rPr>
              <w:rFonts w:asciiTheme="majorHAnsi" w:hAnsiTheme="majorHAnsi" w:cstheme="majorHAnsi"/>
            </w:rPr>
            <w:fldChar w:fldCharType="begin"/>
          </w:r>
          <w:r w:rsidRPr="0014556C">
            <w:rPr>
              <w:rFonts w:asciiTheme="majorHAnsi" w:hAnsiTheme="majorHAnsi" w:cstheme="majorHAnsi"/>
            </w:rPr>
            <w:instrText xml:space="preserve"> TOC \o "1-3" \h \z \u </w:instrText>
          </w:r>
          <w:r w:rsidRPr="0014556C">
            <w:rPr>
              <w:rFonts w:asciiTheme="majorHAnsi" w:hAnsiTheme="majorHAnsi" w:cstheme="majorHAnsi"/>
            </w:rPr>
            <w:fldChar w:fldCharType="separate"/>
          </w:r>
          <w:hyperlink w:anchor="_Toc170418861" w:history="1">
            <w:r w:rsidR="0014556C" w:rsidRPr="0014556C">
              <w:rPr>
                <w:rStyle w:val="Hyperlink"/>
                <w:rFonts w:asciiTheme="majorHAnsi" w:hAnsiTheme="majorHAnsi" w:cstheme="majorHAnsi"/>
                <w:noProof/>
              </w:rPr>
              <w:t>1.</w:t>
            </w:r>
            <w:r w:rsidR="0014556C" w:rsidRPr="0014556C">
              <w:rPr>
                <w:rFonts w:asciiTheme="majorHAnsi" w:eastAsiaTheme="minorEastAsia" w:hAnsiTheme="majorHAnsi" w:cstheme="majorHAnsi"/>
                <w:b w:val="0"/>
                <w:noProof/>
                <w:kern w:val="2"/>
                <w14:ligatures w14:val="standardContextual"/>
              </w:rPr>
              <w:tab/>
            </w:r>
            <w:r w:rsidR="0014556C" w:rsidRPr="0014556C">
              <w:rPr>
                <w:rStyle w:val="Hyperlink"/>
                <w:rFonts w:asciiTheme="majorHAnsi" w:hAnsiTheme="majorHAnsi" w:cstheme="majorHAnsi"/>
                <w:noProof/>
              </w:rPr>
              <w:t>Summary of Results</w:t>
            </w:r>
            <w:r w:rsidR="0014556C" w:rsidRPr="0014556C">
              <w:rPr>
                <w:rFonts w:asciiTheme="majorHAnsi" w:hAnsiTheme="majorHAnsi" w:cstheme="majorHAnsi"/>
                <w:noProof/>
                <w:webHidden/>
              </w:rPr>
              <w:tab/>
            </w:r>
            <w:r w:rsidR="0014556C" w:rsidRPr="0014556C">
              <w:rPr>
                <w:rFonts w:asciiTheme="majorHAnsi" w:hAnsiTheme="majorHAnsi" w:cstheme="majorHAnsi"/>
                <w:noProof/>
                <w:webHidden/>
              </w:rPr>
              <w:fldChar w:fldCharType="begin"/>
            </w:r>
            <w:r w:rsidR="0014556C" w:rsidRPr="0014556C">
              <w:rPr>
                <w:rFonts w:asciiTheme="majorHAnsi" w:hAnsiTheme="majorHAnsi" w:cstheme="majorHAnsi"/>
                <w:noProof/>
                <w:webHidden/>
              </w:rPr>
              <w:instrText xml:space="preserve"> PAGEREF _Toc170418861 \h </w:instrText>
            </w:r>
            <w:r w:rsidR="0014556C" w:rsidRPr="0014556C">
              <w:rPr>
                <w:rFonts w:asciiTheme="majorHAnsi" w:hAnsiTheme="majorHAnsi" w:cstheme="majorHAnsi"/>
                <w:noProof/>
                <w:webHidden/>
              </w:rPr>
            </w:r>
            <w:r w:rsidR="0014556C" w:rsidRPr="0014556C">
              <w:rPr>
                <w:rFonts w:asciiTheme="majorHAnsi" w:hAnsiTheme="majorHAnsi" w:cstheme="majorHAnsi"/>
                <w:noProof/>
                <w:webHidden/>
              </w:rPr>
              <w:fldChar w:fldCharType="separate"/>
            </w:r>
            <w:r w:rsidR="0014556C" w:rsidRPr="0014556C">
              <w:rPr>
                <w:rFonts w:asciiTheme="majorHAnsi" w:hAnsiTheme="majorHAnsi" w:cstheme="majorHAnsi"/>
                <w:noProof/>
                <w:webHidden/>
              </w:rPr>
              <w:t>3</w:t>
            </w:r>
            <w:r w:rsidR="0014556C" w:rsidRPr="0014556C">
              <w:rPr>
                <w:rFonts w:asciiTheme="majorHAnsi" w:hAnsiTheme="majorHAnsi" w:cstheme="majorHAnsi"/>
                <w:noProof/>
                <w:webHidden/>
              </w:rPr>
              <w:fldChar w:fldCharType="end"/>
            </w:r>
          </w:hyperlink>
        </w:p>
        <w:p w14:paraId="06F890B0" w14:textId="07702899" w:rsidR="0014556C" w:rsidRPr="0014556C" w:rsidRDefault="0014556C">
          <w:pPr>
            <w:pStyle w:val="TOC1"/>
            <w:rPr>
              <w:rFonts w:asciiTheme="majorHAnsi" w:eastAsiaTheme="minorEastAsia" w:hAnsiTheme="majorHAnsi" w:cstheme="majorHAnsi"/>
              <w:b w:val="0"/>
              <w:noProof/>
              <w:kern w:val="2"/>
              <w14:ligatures w14:val="standardContextual"/>
            </w:rPr>
          </w:pPr>
          <w:hyperlink w:anchor="_Toc170418862" w:history="1">
            <w:r w:rsidRPr="0014556C">
              <w:rPr>
                <w:rStyle w:val="Hyperlink"/>
                <w:rFonts w:asciiTheme="majorHAnsi" w:hAnsiTheme="majorHAnsi" w:cstheme="majorHAnsi"/>
                <w:noProof/>
              </w:rPr>
              <w:t>2.</w:t>
            </w:r>
            <w:r w:rsidRPr="0014556C">
              <w:rPr>
                <w:rFonts w:asciiTheme="majorHAnsi" w:eastAsiaTheme="minorEastAsia" w:hAnsiTheme="majorHAnsi" w:cstheme="majorHAnsi"/>
                <w:b w:val="0"/>
                <w:noProof/>
                <w:kern w:val="2"/>
                <w14:ligatures w14:val="standardContextual"/>
              </w:rPr>
              <w:tab/>
            </w:r>
            <w:r w:rsidRPr="0014556C">
              <w:rPr>
                <w:rStyle w:val="Hyperlink"/>
                <w:rFonts w:asciiTheme="majorHAnsi" w:hAnsiTheme="majorHAnsi" w:cstheme="majorHAnsi"/>
                <w:noProof/>
              </w:rPr>
              <w:t>Introduction</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_Toc170418862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4</w:t>
            </w:r>
            <w:r w:rsidRPr="0014556C">
              <w:rPr>
                <w:rFonts w:asciiTheme="majorHAnsi" w:hAnsiTheme="majorHAnsi" w:cstheme="majorHAnsi"/>
                <w:noProof/>
                <w:webHidden/>
              </w:rPr>
              <w:fldChar w:fldCharType="end"/>
            </w:r>
          </w:hyperlink>
        </w:p>
        <w:p w14:paraId="08D35C26" w14:textId="014207D5" w:rsidR="0014556C" w:rsidRPr="0014556C" w:rsidRDefault="0014556C">
          <w:pPr>
            <w:pStyle w:val="TOC1"/>
            <w:rPr>
              <w:rFonts w:asciiTheme="majorHAnsi" w:eastAsiaTheme="minorEastAsia" w:hAnsiTheme="majorHAnsi" w:cstheme="majorHAnsi"/>
              <w:b w:val="0"/>
              <w:noProof/>
              <w:kern w:val="2"/>
              <w14:ligatures w14:val="standardContextual"/>
            </w:rPr>
          </w:pPr>
          <w:hyperlink w:anchor="_Toc170418863" w:history="1">
            <w:r w:rsidRPr="0014556C">
              <w:rPr>
                <w:rStyle w:val="Hyperlink"/>
                <w:rFonts w:asciiTheme="majorHAnsi" w:hAnsiTheme="majorHAnsi" w:cstheme="majorHAnsi"/>
                <w:noProof/>
              </w:rPr>
              <w:t>3.</w:t>
            </w:r>
            <w:r w:rsidRPr="0014556C">
              <w:rPr>
                <w:rFonts w:asciiTheme="majorHAnsi" w:eastAsiaTheme="minorEastAsia" w:hAnsiTheme="majorHAnsi" w:cstheme="majorHAnsi"/>
                <w:b w:val="0"/>
                <w:noProof/>
                <w:kern w:val="2"/>
                <w14:ligatures w14:val="standardContextual"/>
              </w:rPr>
              <w:tab/>
            </w:r>
            <w:r w:rsidRPr="0014556C">
              <w:rPr>
                <w:rStyle w:val="Hyperlink"/>
                <w:rFonts w:asciiTheme="majorHAnsi" w:hAnsiTheme="majorHAnsi" w:cstheme="majorHAnsi"/>
                <w:noProof/>
              </w:rPr>
              <w:t>Results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_Toc170418863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6</w:t>
            </w:r>
            <w:r w:rsidRPr="0014556C">
              <w:rPr>
                <w:rFonts w:asciiTheme="majorHAnsi" w:hAnsiTheme="majorHAnsi" w:cstheme="majorHAnsi"/>
                <w:noProof/>
                <w:webHidden/>
              </w:rPr>
              <w:fldChar w:fldCharType="end"/>
            </w:r>
          </w:hyperlink>
        </w:p>
        <w:p w14:paraId="2F82D7BA" w14:textId="7F78E69D"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64" w:history="1">
            <w:r w:rsidRPr="0014556C">
              <w:rPr>
                <w:rStyle w:val="Hyperlink"/>
                <w:rFonts w:asciiTheme="majorHAnsi" w:hAnsiTheme="majorHAnsi" w:cstheme="majorHAnsi"/>
                <w:noProof/>
              </w:rPr>
              <w:t>Introduction to the concept of high-throughput cellular phenotyping platforms, CRISPR screens, and other highly scalable functional assays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_Toc170418864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6</w:t>
            </w:r>
            <w:r w:rsidRPr="0014556C">
              <w:rPr>
                <w:rFonts w:asciiTheme="majorHAnsi" w:hAnsiTheme="majorHAnsi" w:cstheme="majorHAnsi"/>
                <w:noProof/>
                <w:webHidden/>
              </w:rPr>
              <w:fldChar w:fldCharType="end"/>
            </w:r>
          </w:hyperlink>
        </w:p>
        <w:p w14:paraId="499ABDB5" w14:textId="65BF6ECB"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65" w:history="1">
            <w:r w:rsidRPr="0014556C">
              <w:rPr>
                <w:rStyle w:val="Hyperlink"/>
                <w:rFonts w:asciiTheme="majorHAnsi" w:hAnsiTheme="majorHAnsi" w:cstheme="majorHAnsi"/>
                <w:noProof/>
              </w:rPr>
              <w:t>Summary of the discussion on ‘High-throughput cellular phenotyping platforms and CRISPR screens’ at the second meeting of the European Think Tank on Genome Editing</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_Toc170418865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7</w:t>
            </w:r>
            <w:r w:rsidRPr="0014556C">
              <w:rPr>
                <w:rFonts w:asciiTheme="majorHAnsi" w:hAnsiTheme="majorHAnsi" w:cstheme="majorHAnsi"/>
                <w:noProof/>
                <w:webHidden/>
              </w:rPr>
              <w:fldChar w:fldCharType="end"/>
            </w:r>
          </w:hyperlink>
        </w:p>
        <w:p w14:paraId="506C9900" w14:textId="1C3DB422"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66" w:history="1">
            <w:r w:rsidRPr="0014556C">
              <w:rPr>
                <w:rStyle w:val="Hyperlink"/>
                <w:rFonts w:asciiTheme="majorHAnsi" w:hAnsiTheme="majorHAnsi" w:cstheme="majorHAnsi"/>
                <w:noProof/>
              </w:rPr>
              <w:t>Opportunities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_Toc170418866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9</w:t>
            </w:r>
            <w:r w:rsidRPr="0014556C">
              <w:rPr>
                <w:rFonts w:asciiTheme="majorHAnsi" w:hAnsiTheme="majorHAnsi" w:cstheme="majorHAnsi"/>
                <w:noProof/>
                <w:webHidden/>
              </w:rPr>
              <w:fldChar w:fldCharType="end"/>
            </w:r>
          </w:hyperlink>
        </w:p>
        <w:p w14:paraId="71368371" w14:textId="5B874BA2"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67" w:history="1">
            <w:r w:rsidRPr="0014556C">
              <w:rPr>
                <w:rStyle w:val="Hyperlink"/>
                <w:rFonts w:asciiTheme="majorHAnsi" w:hAnsiTheme="majorHAnsi" w:cstheme="majorHAnsi"/>
                <w:noProof/>
              </w:rPr>
              <w:t>Priorities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_Toc170418867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9</w:t>
            </w:r>
            <w:r w:rsidRPr="0014556C">
              <w:rPr>
                <w:rFonts w:asciiTheme="majorHAnsi" w:hAnsiTheme="majorHAnsi" w:cstheme="majorHAnsi"/>
                <w:noProof/>
                <w:webHidden/>
              </w:rPr>
              <w:fldChar w:fldCharType="end"/>
            </w:r>
          </w:hyperlink>
        </w:p>
        <w:p w14:paraId="535D7C36" w14:textId="54541172"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68" w:history="1">
            <w:r w:rsidRPr="0014556C">
              <w:rPr>
                <w:rStyle w:val="Hyperlink"/>
                <w:rFonts w:asciiTheme="majorHAnsi" w:hAnsiTheme="majorHAnsi" w:cstheme="majorHAnsi"/>
                <w:noProof/>
              </w:rPr>
              <w:t>Barriers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_Toc170418868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9</w:t>
            </w:r>
            <w:r w:rsidRPr="0014556C">
              <w:rPr>
                <w:rFonts w:asciiTheme="majorHAnsi" w:hAnsiTheme="majorHAnsi" w:cstheme="majorHAnsi"/>
                <w:noProof/>
                <w:webHidden/>
              </w:rPr>
              <w:fldChar w:fldCharType="end"/>
            </w:r>
          </w:hyperlink>
        </w:p>
        <w:p w14:paraId="44730EB1" w14:textId="2504BEB6"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69" w:history="1">
            <w:r w:rsidRPr="0014556C">
              <w:rPr>
                <w:rStyle w:val="Hyperlink"/>
                <w:rFonts w:asciiTheme="majorHAnsi" w:hAnsiTheme="majorHAnsi" w:cstheme="majorHAnsi"/>
                <w:noProof/>
              </w:rPr>
              <w:t>EuroFAANG RI WP5 Webinar on “The Power of G2P Research in Farmed Animals through High-Throughput CRISPR Screens”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_Toc170418869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10</w:t>
            </w:r>
            <w:r w:rsidRPr="0014556C">
              <w:rPr>
                <w:rFonts w:asciiTheme="majorHAnsi" w:hAnsiTheme="majorHAnsi" w:cstheme="majorHAnsi"/>
                <w:noProof/>
                <w:webHidden/>
              </w:rPr>
              <w:fldChar w:fldCharType="end"/>
            </w:r>
          </w:hyperlink>
        </w:p>
        <w:p w14:paraId="0D07656F" w14:textId="27EF732A"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70" w:history="1">
            <w:r w:rsidRPr="0014556C">
              <w:rPr>
                <w:rStyle w:val="Hyperlink"/>
                <w:rFonts w:asciiTheme="majorHAnsi" w:hAnsiTheme="majorHAnsi" w:cstheme="majorHAnsi"/>
                <w:noProof/>
              </w:rPr>
              <w:t>WP4 workshop session to build expertise in single guide RNA design</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_Toc170418870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10</w:t>
            </w:r>
            <w:r w:rsidRPr="0014556C">
              <w:rPr>
                <w:rFonts w:asciiTheme="majorHAnsi" w:hAnsiTheme="majorHAnsi" w:cstheme="majorHAnsi"/>
                <w:noProof/>
                <w:webHidden/>
              </w:rPr>
              <w:fldChar w:fldCharType="end"/>
            </w:r>
          </w:hyperlink>
        </w:p>
        <w:p w14:paraId="6FCB1196" w14:textId="7FB1B423"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71" w:history="1">
            <w:r w:rsidRPr="0014556C">
              <w:rPr>
                <w:rStyle w:val="Hyperlink"/>
                <w:rFonts w:asciiTheme="majorHAnsi" w:hAnsiTheme="majorHAnsi" w:cstheme="majorHAnsi"/>
                <w:noProof/>
              </w:rPr>
              <w:t>Facilities with ‘High-throughput cell phenotyping platforms’ within Europe</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_Toc170418871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10</w:t>
            </w:r>
            <w:r w:rsidRPr="0014556C">
              <w:rPr>
                <w:rFonts w:asciiTheme="majorHAnsi" w:hAnsiTheme="majorHAnsi" w:cstheme="majorHAnsi"/>
                <w:noProof/>
                <w:webHidden/>
              </w:rPr>
              <w:fldChar w:fldCharType="end"/>
            </w:r>
          </w:hyperlink>
        </w:p>
        <w:p w14:paraId="5C6EA585" w14:textId="68981E69"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2" w:history="1">
            <w:r w:rsidRPr="0014556C">
              <w:rPr>
                <w:rStyle w:val="Hyperlink"/>
                <w:rFonts w:asciiTheme="majorHAnsi" w:hAnsiTheme="majorHAnsi" w:cstheme="majorHAnsi"/>
                <w:noProof/>
                <w:lang w:val="en-US"/>
              </w:rPr>
              <w:t>France</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_Toc170418872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11</w:t>
            </w:r>
            <w:r w:rsidRPr="0014556C">
              <w:rPr>
                <w:rFonts w:asciiTheme="majorHAnsi" w:hAnsiTheme="majorHAnsi" w:cstheme="majorHAnsi"/>
                <w:noProof/>
                <w:webHidden/>
              </w:rPr>
              <w:fldChar w:fldCharType="end"/>
            </w:r>
          </w:hyperlink>
        </w:p>
        <w:p w14:paraId="1BD0CD3D" w14:textId="683C457C"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3" w:history="1">
            <w:r w:rsidRPr="0014556C">
              <w:rPr>
                <w:rStyle w:val="Hyperlink"/>
                <w:rFonts w:asciiTheme="majorHAnsi" w:hAnsiTheme="majorHAnsi" w:cstheme="majorHAnsi"/>
                <w:noProof/>
                <w:lang w:val="en-US"/>
              </w:rPr>
              <w:t>Denmark</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_Toc170418873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11</w:t>
            </w:r>
            <w:r w:rsidRPr="0014556C">
              <w:rPr>
                <w:rFonts w:asciiTheme="majorHAnsi" w:hAnsiTheme="majorHAnsi" w:cstheme="majorHAnsi"/>
                <w:noProof/>
                <w:webHidden/>
              </w:rPr>
              <w:fldChar w:fldCharType="end"/>
            </w:r>
          </w:hyperlink>
        </w:p>
        <w:p w14:paraId="345E628B" w14:textId="743812E5"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4" w:history="1">
            <w:r w:rsidRPr="0014556C">
              <w:rPr>
                <w:rStyle w:val="Hyperlink"/>
                <w:rFonts w:asciiTheme="majorHAnsi" w:hAnsiTheme="majorHAnsi" w:cstheme="majorHAnsi"/>
                <w:noProof/>
                <w:lang w:val="en-US"/>
              </w:rPr>
              <w:t>United Kingdom</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_Toc170418874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12</w:t>
            </w:r>
            <w:r w:rsidRPr="0014556C">
              <w:rPr>
                <w:rFonts w:asciiTheme="majorHAnsi" w:hAnsiTheme="majorHAnsi" w:cstheme="majorHAnsi"/>
                <w:noProof/>
                <w:webHidden/>
              </w:rPr>
              <w:fldChar w:fldCharType="end"/>
            </w:r>
          </w:hyperlink>
        </w:p>
        <w:p w14:paraId="23F74FFB" w14:textId="0A7E813C"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5" w:history="1">
            <w:r w:rsidRPr="0014556C">
              <w:rPr>
                <w:rStyle w:val="Hyperlink"/>
                <w:rFonts w:asciiTheme="majorHAnsi" w:hAnsiTheme="majorHAnsi" w:cstheme="majorHAnsi"/>
                <w:noProof/>
              </w:rPr>
              <w:t>Germany</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_Toc170418875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13</w:t>
            </w:r>
            <w:r w:rsidRPr="0014556C">
              <w:rPr>
                <w:rFonts w:asciiTheme="majorHAnsi" w:hAnsiTheme="majorHAnsi" w:cstheme="majorHAnsi"/>
                <w:noProof/>
                <w:webHidden/>
              </w:rPr>
              <w:fldChar w:fldCharType="end"/>
            </w:r>
          </w:hyperlink>
        </w:p>
        <w:p w14:paraId="61C40FB9" w14:textId="46C320BD"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76" w:history="1">
            <w:r w:rsidRPr="0014556C">
              <w:rPr>
                <w:rStyle w:val="Hyperlink"/>
                <w:rFonts w:asciiTheme="majorHAnsi" w:hAnsiTheme="majorHAnsi" w:cstheme="majorHAnsi"/>
                <w:noProof/>
              </w:rPr>
              <w:t>Extending HTP capacity from human research to G2P research in farmed animals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_Toc170418876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13</w:t>
            </w:r>
            <w:r w:rsidRPr="0014556C">
              <w:rPr>
                <w:rFonts w:asciiTheme="majorHAnsi" w:hAnsiTheme="majorHAnsi" w:cstheme="majorHAnsi"/>
                <w:noProof/>
                <w:webHidden/>
              </w:rPr>
              <w:fldChar w:fldCharType="end"/>
            </w:r>
          </w:hyperlink>
        </w:p>
        <w:p w14:paraId="399C073F" w14:textId="173C3CDA"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77" w:history="1">
            <w:r w:rsidRPr="0014556C">
              <w:rPr>
                <w:rStyle w:val="Hyperlink"/>
                <w:rFonts w:asciiTheme="majorHAnsi" w:hAnsiTheme="majorHAnsi" w:cstheme="majorHAnsi"/>
                <w:noProof/>
              </w:rPr>
              <w:t>Additional service provision relevant to high-throughput cellular phenotyping</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_Toc170418877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14</w:t>
            </w:r>
            <w:r w:rsidRPr="0014556C">
              <w:rPr>
                <w:rFonts w:asciiTheme="majorHAnsi" w:hAnsiTheme="majorHAnsi" w:cstheme="majorHAnsi"/>
                <w:noProof/>
                <w:webHidden/>
              </w:rPr>
              <w:fldChar w:fldCharType="end"/>
            </w:r>
          </w:hyperlink>
        </w:p>
        <w:p w14:paraId="31CEC9F7" w14:textId="2C236275"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8" w:history="1">
            <w:r w:rsidRPr="0014556C">
              <w:rPr>
                <w:rStyle w:val="Hyperlink"/>
                <w:rFonts w:asciiTheme="majorHAnsi" w:hAnsiTheme="majorHAnsi" w:cstheme="majorHAnsi"/>
                <w:noProof/>
              </w:rPr>
              <w:t>Commercial automated cell phenotyping systems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_Toc170418878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14</w:t>
            </w:r>
            <w:r w:rsidRPr="0014556C">
              <w:rPr>
                <w:rFonts w:asciiTheme="majorHAnsi" w:hAnsiTheme="majorHAnsi" w:cstheme="majorHAnsi"/>
                <w:noProof/>
                <w:webHidden/>
              </w:rPr>
              <w:fldChar w:fldCharType="end"/>
            </w:r>
          </w:hyperlink>
        </w:p>
        <w:p w14:paraId="6526C68B" w14:textId="5B4DDA6F" w:rsidR="0014556C" w:rsidRPr="0014556C" w:rsidRDefault="0014556C">
          <w:pPr>
            <w:pStyle w:val="TOC3"/>
            <w:tabs>
              <w:tab w:val="right" w:leader="dot" w:pos="8637"/>
            </w:tabs>
            <w:rPr>
              <w:rFonts w:asciiTheme="majorHAnsi" w:eastAsiaTheme="minorEastAsia" w:hAnsiTheme="majorHAnsi" w:cstheme="majorHAnsi"/>
              <w:noProof/>
              <w:kern w:val="2"/>
              <w14:ligatures w14:val="standardContextual"/>
            </w:rPr>
          </w:pPr>
          <w:hyperlink w:anchor="_Toc170418879" w:history="1">
            <w:r w:rsidRPr="0014556C">
              <w:rPr>
                <w:rStyle w:val="Hyperlink"/>
                <w:rFonts w:asciiTheme="majorHAnsi" w:hAnsiTheme="majorHAnsi" w:cstheme="majorHAnsi"/>
                <w:noProof/>
              </w:rPr>
              <w:t>Assembly of DNA constructs at scale for CRISPR screens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_Toc170418879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14</w:t>
            </w:r>
            <w:r w:rsidRPr="0014556C">
              <w:rPr>
                <w:rFonts w:asciiTheme="majorHAnsi" w:hAnsiTheme="majorHAnsi" w:cstheme="majorHAnsi"/>
                <w:noProof/>
                <w:webHidden/>
              </w:rPr>
              <w:fldChar w:fldCharType="end"/>
            </w:r>
          </w:hyperlink>
        </w:p>
        <w:p w14:paraId="1B9BBD15" w14:textId="3FD51F3D" w:rsidR="0014556C" w:rsidRPr="0014556C" w:rsidRDefault="0014556C">
          <w:pPr>
            <w:pStyle w:val="TOC2"/>
            <w:tabs>
              <w:tab w:val="right" w:leader="dot" w:pos="8637"/>
            </w:tabs>
            <w:rPr>
              <w:rFonts w:asciiTheme="majorHAnsi" w:eastAsiaTheme="minorEastAsia" w:hAnsiTheme="majorHAnsi" w:cstheme="majorHAnsi"/>
              <w:noProof/>
              <w:kern w:val="2"/>
              <w14:ligatures w14:val="standardContextual"/>
            </w:rPr>
          </w:pPr>
          <w:hyperlink w:anchor="_Toc170418880" w:history="1">
            <w:r w:rsidRPr="0014556C">
              <w:rPr>
                <w:rStyle w:val="Hyperlink"/>
                <w:rFonts w:asciiTheme="majorHAnsi" w:hAnsiTheme="majorHAnsi" w:cstheme="majorHAnsi"/>
                <w:noProof/>
              </w:rPr>
              <w:t>An access framework for high-throughput cellular phenotyping and CRISPR screens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_Toc170418880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14</w:t>
            </w:r>
            <w:r w:rsidRPr="0014556C">
              <w:rPr>
                <w:rFonts w:asciiTheme="majorHAnsi" w:hAnsiTheme="majorHAnsi" w:cstheme="majorHAnsi"/>
                <w:noProof/>
                <w:webHidden/>
              </w:rPr>
              <w:fldChar w:fldCharType="end"/>
            </w:r>
          </w:hyperlink>
        </w:p>
        <w:p w14:paraId="40B18866" w14:textId="4AF637C4" w:rsidR="0014556C" w:rsidRPr="0014556C" w:rsidRDefault="0014556C">
          <w:pPr>
            <w:pStyle w:val="TOC1"/>
            <w:rPr>
              <w:rFonts w:asciiTheme="majorHAnsi" w:eastAsiaTheme="minorEastAsia" w:hAnsiTheme="majorHAnsi" w:cstheme="majorHAnsi"/>
              <w:b w:val="0"/>
              <w:noProof/>
              <w:kern w:val="2"/>
              <w14:ligatures w14:val="standardContextual"/>
            </w:rPr>
          </w:pPr>
          <w:hyperlink w:anchor="_Toc170418881" w:history="1">
            <w:r w:rsidRPr="0014556C">
              <w:rPr>
                <w:rStyle w:val="Hyperlink"/>
                <w:rFonts w:asciiTheme="majorHAnsi" w:hAnsiTheme="majorHAnsi" w:cstheme="majorHAnsi"/>
                <w:noProof/>
              </w:rPr>
              <w:t>4.</w:t>
            </w:r>
            <w:r w:rsidRPr="0014556C">
              <w:rPr>
                <w:rFonts w:asciiTheme="majorHAnsi" w:eastAsiaTheme="minorEastAsia" w:hAnsiTheme="majorHAnsi" w:cstheme="majorHAnsi"/>
                <w:b w:val="0"/>
                <w:noProof/>
                <w:kern w:val="2"/>
                <w14:ligatures w14:val="standardContextual"/>
              </w:rPr>
              <w:tab/>
            </w:r>
            <w:r w:rsidRPr="0014556C">
              <w:rPr>
                <w:rStyle w:val="Hyperlink"/>
                <w:rFonts w:asciiTheme="majorHAnsi" w:hAnsiTheme="majorHAnsi" w:cstheme="majorHAnsi"/>
                <w:noProof/>
              </w:rPr>
              <w:t>Conclusions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_Toc170418881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15</w:t>
            </w:r>
            <w:r w:rsidRPr="0014556C">
              <w:rPr>
                <w:rFonts w:asciiTheme="majorHAnsi" w:hAnsiTheme="majorHAnsi" w:cstheme="majorHAnsi"/>
                <w:noProof/>
                <w:webHidden/>
              </w:rPr>
              <w:fldChar w:fldCharType="end"/>
            </w:r>
          </w:hyperlink>
        </w:p>
        <w:p w14:paraId="75CA8C9D" w14:textId="724E646E" w:rsidR="0014556C" w:rsidRPr="0014556C" w:rsidRDefault="0014556C">
          <w:pPr>
            <w:pStyle w:val="TOC1"/>
            <w:rPr>
              <w:rFonts w:asciiTheme="majorHAnsi" w:eastAsiaTheme="minorEastAsia" w:hAnsiTheme="majorHAnsi" w:cstheme="majorHAnsi"/>
              <w:b w:val="0"/>
              <w:noProof/>
              <w:kern w:val="2"/>
              <w14:ligatures w14:val="standardContextual"/>
            </w:rPr>
          </w:pPr>
          <w:hyperlink w:anchor="_Toc170418882" w:history="1">
            <w:r w:rsidRPr="0014556C">
              <w:rPr>
                <w:rStyle w:val="Hyperlink"/>
                <w:rFonts w:asciiTheme="majorHAnsi" w:hAnsiTheme="majorHAnsi" w:cstheme="majorHAnsi"/>
                <w:noProof/>
              </w:rPr>
              <w:t>5.</w:t>
            </w:r>
            <w:r w:rsidRPr="0014556C">
              <w:rPr>
                <w:rFonts w:asciiTheme="majorHAnsi" w:eastAsiaTheme="minorEastAsia" w:hAnsiTheme="majorHAnsi" w:cstheme="majorHAnsi"/>
                <w:b w:val="0"/>
                <w:noProof/>
                <w:kern w:val="2"/>
                <w14:ligatures w14:val="standardContextual"/>
              </w:rPr>
              <w:tab/>
            </w:r>
            <w:r w:rsidRPr="0014556C">
              <w:rPr>
                <w:rStyle w:val="Hyperlink"/>
                <w:rFonts w:asciiTheme="majorHAnsi" w:hAnsiTheme="majorHAnsi" w:cstheme="majorHAnsi"/>
                <w:noProof/>
              </w:rPr>
              <w:t>References</w:t>
            </w:r>
            <w:r w:rsidRPr="0014556C">
              <w:rPr>
                <w:rFonts w:asciiTheme="majorHAnsi" w:hAnsiTheme="majorHAnsi" w:cstheme="majorHAnsi"/>
                <w:noProof/>
                <w:webHidden/>
              </w:rPr>
              <w:tab/>
            </w:r>
            <w:r w:rsidRPr="0014556C">
              <w:rPr>
                <w:rFonts w:asciiTheme="majorHAnsi" w:hAnsiTheme="majorHAnsi" w:cstheme="majorHAnsi"/>
                <w:noProof/>
                <w:webHidden/>
              </w:rPr>
              <w:fldChar w:fldCharType="begin"/>
            </w:r>
            <w:r w:rsidRPr="0014556C">
              <w:rPr>
                <w:rFonts w:asciiTheme="majorHAnsi" w:hAnsiTheme="majorHAnsi" w:cstheme="majorHAnsi"/>
                <w:noProof/>
                <w:webHidden/>
              </w:rPr>
              <w:instrText xml:space="preserve"> PAGEREF _Toc170418882 \h </w:instrText>
            </w:r>
            <w:r w:rsidRPr="0014556C">
              <w:rPr>
                <w:rFonts w:asciiTheme="majorHAnsi" w:hAnsiTheme="majorHAnsi" w:cstheme="majorHAnsi"/>
                <w:noProof/>
                <w:webHidden/>
              </w:rPr>
            </w:r>
            <w:r w:rsidRPr="0014556C">
              <w:rPr>
                <w:rFonts w:asciiTheme="majorHAnsi" w:hAnsiTheme="majorHAnsi" w:cstheme="majorHAnsi"/>
                <w:noProof/>
                <w:webHidden/>
              </w:rPr>
              <w:fldChar w:fldCharType="separate"/>
            </w:r>
            <w:r w:rsidRPr="0014556C">
              <w:rPr>
                <w:rFonts w:asciiTheme="majorHAnsi" w:hAnsiTheme="majorHAnsi" w:cstheme="majorHAnsi"/>
                <w:noProof/>
                <w:webHidden/>
              </w:rPr>
              <w:t>17</w:t>
            </w:r>
            <w:r w:rsidRPr="0014556C">
              <w:rPr>
                <w:rFonts w:asciiTheme="majorHAnsi" w:hAnsiTheme="majorHAnsi" w:cstheme="majorHAnsi"/>
                <w:noProof/>
                <w:webHidden/>
              </w:rPr>
              <w:fldChar w:fldCharType="end"/>
            </w:r>
          </w:hyperlink>
        </w:p>
        <w:p w14:paraId="4E6F7B2E" w14:textId="768161E3" w:rsidR="00D06FCD" w:rsidRPr="0014556C" w:rsidRDefault="00F83328">
          <w:pPr>
            <w:rPr>
              <w:rFonts w:asciiTheme="majorHAnsi" w:hAnsiTheme="majorHAnsi" w:cstheme="majorHAnsi"/>
            </w:rPr>
          </w:pPr>
          <w:r w:rsidRPr="0014556C">
            <w:rPr>
              <w:rFonts w:asciiTheme="majorHAnsi" w:hAnsiTheme="majorHAnsi" w:cstheme="majorHAnsi"/>
            </w:rPr>
            <w:fldChar w:fldCharType="end"/>
          </w:r>
        </w:p>
      </w:sdtContent>
    </w:sdt>
    <w:p w14:paraId="4D79C31A" w14:textId="77777777" w:rsidR="00966E4E" w:rsidRPr="0014556C" w:rsidRDefault="00966E4E">
      <w:pPr>
        <w:rPr>
          <w:rFonts w:asciiTheme="majorHAnsi" w:hAnsiTheme="majorHAnsi" w:cstheme="majorHAnsi"/>
          <w:color w:val="000000" w:themeColor="text1"/>
        </w:rPr>
      </w:pPr>
    </w:p>
    <w:p w14:paraId="3E4B38D2" w14:textId="77777777" w:rsidR="009C2693" w:rsidRPr="0014556C" w:rsidRDefault="009C2693">
      <w:pPr>
        <w:rPr>
          <w:rFonts w:asciiTheme="majorHAnsi" w:hAnsiTheme="majorHAnsi" w:cstheme="majorHAnsi"/>
          <w:color w:val="000000" w:themeColor="text1"/>
        </w:rPr>
      </w:pPr>
      <w:r w:rsidRPr="0014556C">
        <w:rPr>
          <w:rFonts w:asciiTheme="majorHAnsi" w:hAnsiTheme="majorHAnsi" w:cstheme="majorHAnsi"/>
          <w:b/>
          <w:color w:val="000000" w:themeColor="text1"/>
        </w:rPr>
        <w:br w:type="page"/>
      </w:r>
    </w:p>
    <w:p w14:paraId="36AAD80F" w14:textId="764E8F6B" w:rsidR="00D90A58" w:rsidRPr="0014556C" w:rsidRDefault="006F3634" w:rsidP="004C535E">
      <w:pPr>
        <w:pStyle w:val="Heading1"/>
        <w:rPr>
          <w:rFonts w:asciiTheme="majorHAnsi" w:hAnsiTheme="majorHAnsi" w:cstheme="majorHAnsi"/>
        </w:rPr>
      </w:pPr>
      <w:bookmarkStart w:id="1" w:name="_Toc170418861"/>
      <w:r w:rsidRPr="0014556C">
        <w:rPr>
          <w:rFonts w:asciiTheme="majorHAnsi" w:hAnsiTheme="majorHAnsi" w:cstheme="majorHAnsi"/>
        </w:rPr>
        <w:lastRenderedPageBreak/>
        <w:t xml:space="preserve">Summary of </w:t>
      </w:r>
      <w:r w:rsidR="00194EB9" w:rsidRPr="0014556C">
        <w:rPr>
          <w:rFonts w:asciiTheme="majorHAnsi" w:hAnsiTheme="majorHAnsi" w:cstheme="majorHAnsi"/>
        </w:rPr>
        <w:t>R</w:t>
      </w:r>
      <w:r w:rsidRPr="0014556C">
        <w:rPr>
          <w:rFonts w:asciiTheme="majorHAnsi" w:hAnsiTheme="majorHAnsi" w:cstheme="majorHAnsi"/>
        </w:rPr>
        <w:t>esults</w:t>
      </w:r>
      <w:bookmarkEnd w:id="1"/>
    </w:p>
    <w:p w14:paraId="1A153394" w14:textId="790AC059" w:rsidR="006A2D69" w:rsidRPr="0014556C" w:rsidRDefault="00284822" w:rsidP="006A2D69">
      <w:pPr>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The purpose of Deliverable 5.</w:t>
      </w:r>
      <w:r w:rsidR="00FA0AE8" w:rsidRPr="0014556C">
        <w:rPr>
          <w:rFonts w:asciiTheme="majorHAnsi" w:eastAsia="Century Gothic" w:hAnsiTheme="majorHAnsi" w:cstheme="majorHAnsi"/>
          <w:color w:val="000000" w:themeColor="text1"/>
        </w:rPr>
        <w:t>1</w:t>
      </w:r>
      <w:r w:rsidRPr="0014556C">
        <w:rPr>
          <w:rFonts w:asciiTheme="majorHAnsi" w:eastAsia="Century Gothic" w:hAnsiTheme="majorHAnsi" w:cstheme="majorHAnsi"/>
          <w:color w:val="000000" w:themeColor="text1"/>
        </w:rPr>
        <w:t xml:space="preserve"> is to </w:t>
      </w:r>
      <w:r w:rsidR="00D077CB" w:rsidRPr="0014556C">
        <w:rPr>
          <w:rFonts w:asciiTheme="majorHAnsi" w:eastAsia="Century Gothic" w:hAnsiTheme="majorHAnsi" w:cstheme="majorHAnsi"/>
          <w:color w:val="000000" w:themeColor="text1"/>
        </w:rPr>
        <w:t>provide a framework for access to high-throughput cellular phenotyping (HTP) platforms for the validation of candidate causal variants</w:t>
      </w:r>
      <w:r w:rsidR="006A2D69" w:rsidRPr="0014556C">
        <w:rPr>
          <w:rFonts w:asciiTheme="majorHAnsi" w:eastAsia="Century Gothic" w:hAnsiTheme="majorHAnsi" w:cstheme="majorHAnsi"/>
          <w:color w:val="000000" w:themeColor="text1"/>
        </w:rPr>
        <w:t xml:space="preserve"> using CRISPR screens</w:t>
      </w:r>
      <w:r w:rsidR="0030699C" w:rsidRPr="0014556C">
        <w:rPr>
          <w:rFonts w:asciiTheme="majorHAnsi" w:eastAsia="Century Gothic" w:hAnsiTheme="majorHAnsi" w:cstheme="majorHAnsi"/>
          <w:color w:val="000000" w:themeColor="text1"/>
        </w:rPr>
        <w:t xml:space="preserve"> </w:t>
      </w:r>
      <w:r w:rsidR="006A2D69" w:rsidRPr="0014556C">
        <w:rPr>
          <w:rFonts w:asciiTheme="majorHAnsi" w:eastAsia="Century Gothic" w:hAnsiTheme="majorHAnsi" w:cstheme="majorHAnsi"/>
          <w:color w:val="000000" w:themeColor="text1"/>
        </w:rPr>
        <w:t xml:space="preserve">and </w:t>
      </w:r>
      <w:r w:rsidR="00313261" w:rsidRPr="0014556C">
        <w:rPr>
          <w:rFonts w:asciiTheme="majorHAnsi" w:eastAsia="Century Gothic" w:hAnsiTheme="majorHAnsi" w:cstheme="majorHAnsi"/>
          <w:color w:val="000000" w:themeColor="text1"/>
        </w:rPr>
        <w:t xml:space="preserve">other </w:t>
      </w:r>
      <w:r w:rsidR="006A2D69" w:rsidRPr="0014556C">
        <w:rPr>
          <w:rFonts w:asciiTheme="majorHAnsi" w:eastAsia="Century Gothic" w:hAnsiTheme="majorHAnsi" w:cstheme="majorHAnsi"/>
          <w:color w:val="000000" w:themeColor="text1"/>
        </w:rPr>
        <w:t xml:space="preserve">highly scalable functional validation </w:t>
      </w:r>
      <w:r w:rsidR="00313261" w:rsidRPr="0014556C">
        <w:rPr>
          <w:rFonts w:asciiTheme="majorHAnsi" w:eastAsia="Century Gothic" w:hAnsiTheme="majorHAnsi" w:cstheme="majorHAnsi"/>
          <w:color w:val="000000" w:themeColor="text1"/>
        </w:rPr>
        <w:t>tools</w:t>
      </w:r>
      <w:r w:rsidR="006A2D69" w:rsidRPr="0014556C">
        <w:rPr>
          <w:rFonts w:asciiTheme="majorHAnsi" w:eastAsia="Century Gothic" w:hAnsiTheme="majorHAnsi" w:cstheme="majorHAnsi"/>
          <w:color w:val="000000" w:themeColor="text1"/>
        </w:rPr>
        <w:t xml:space="preserve"> such as Massively </w:t>
      </w:r>
      <w:r w:rsidR="007E453F" w:rsidRPr="0014556C">
        <w:rPr>
          <w:rFonts w:asciiTheme="majorHAnsi" w:eastAsia="Century Gothic" w:hAnsiTheme="majorHAnsi" w:cstheme="majorHAnsi"/>
          <w:color w:val="000000" w:themeColor="text1"/>
        </w:rPr>
        <w:t>Parallel</w:t>
      </w:r>
      <w:r w:rsidR="006A2D69" w:rsidRPr="0014556C">
        <w:rPr>
          <w:rFonts w:asciiTheme="majorHAnsi" w:eastAsia="Century Gothic" w:hAnsiTheme="majorHAnsi" w:cstheme="majorHAnsi"/>
          <w:color w:val="000000" w:themeColor="text1"/>
        </w:rPr>
        <w:t xml:space="preserve"> Reporter Assays (MPRA)</w:t>
      </w:r>
      <w:r w:rsidR="00F83128" w:rsidRPr="0014556C">
        <w:rPr>
          <w:rFonts w:asciiTheme="majorHAnsi" w:eastAsia="Century Gothic" w:hAnsiTheme="majorHAnsi" w:cstheme="majorHAnsi"/>
          <w:color w:val="000000" w:themeColor="text1"/>
        </w:rPr>
        <w:t>.</w:t>
      </w:r>
    </w:p>
    <w:p w14:paraId="54D548C7" w14:textId="77777777" w:rsidR="006A2D69" w:rsidRPr="0014556C" w:rsidRDefault="006A2D69" w:rsidP="006A2D69">
      <w:pPr>
        <w:jc w:val="both"/>
        <w:rPr>
          <w:rFonts w:asciiTheme="majorHAnsi" w:eastAsia="Century Gothic" w:hAnsiTheme="majorHAnsi" w:cstheme="majorHAnsi"/>
          <w:color w:val="000000" w:themeColor="text1"/>
        </w:rPr>
      </w:pPr>
    </w:p>
    <w:p w14:paraId="72FE1BF2" w14:textId="54767E9E" w:rsidR="002B167F" w:rsidRPr="0014556C" w:rsidRDefault="001F09AD" w:rsidP="006A2D69">
      <w:pPr>
        <w:jc w:val="both"/>
        <w:rPr>
          <w:rFonts w:asciiTheme="majorHAnsi" w:hAnsiTheme="majorHAnsi" w:cstheme="majorHAnsi"/>
          <w:color w:val="000000"/>
        </w:rPr>
      </w:pPr>
      <w:r w:rsidRPr="0014556C">
        <w:rPr>
          <w:rFonts w:asciiTheme="majorHAnsi" w:hAnsiTheme="majorHAnsi" w:cstheme="majorHAnsi"/>
          <w:color w:val="000000"/>
        </w:rPr>
        <w:t xml:space="preserve">CRISPR screens can be used </w:t>
      </w:r>
      <w:r w:rsidR="002B167F" w:rsidRPr="0014556C">
        <w:rPr>
          <w:rFonts w:asciiTheme="majorHAnsi" w:hAnsiTheme="majorHAnsi" w:cstheme="majorHAnsi"/>
          <w:color w:val="000000"/>
        </w:rPr>
        <w:t>to identify</w:t>
      </w:r>
      <w:r w:rsidRPr="0014556C">
        <w:rPr>
          <w:rFonts w:asciiTheme="majorHAnsi" w:hAnsiTheme="majorHAnsi" w:cstheme="majorHAnsi"/>
          <w:color w:val="000000"/>
        </w:rPr>
        <w:t xml:space="preserve"> </w:t>
      </w:r>
      <w:r w:rsidR="009E47AE" w:rsidRPr="0014556C">
        <w:rPr>
          <w:rFonts w:asciiTheme="majorHAnsi" w:hAnsiTheme="majorHAnsi" w:cstheme="majorHAnsi"/>
          <w:color w:val="000000"/>
        </w:rPr>
        <w:t xml:space="preserve">functional alleles (e.g. for disease resistance) </w:t>
      </w:r>
      <w:r w:rsidRPr="0014556C">
        <w:rPr>
          <w:rFonts w:asciiTheme="majorHAnsi" w:hAnsiTheme="majorHAnsi" w:cstheme="majorHAnsi"/>
          <w:color w:val="000000"/>
        </w:rPr>
        <w:t>that can be harnessed</w:t>
      </w:r>
      <w:r w:rsidR="002B167F" w:rsidRPr="0014556C">
        <w:rPr>
          <w:rFonts w:asciiTheme="majorHAnsi" w:hAnsiTheme="majorHAnsi" w:cstheme="majorHAnsi"/>
          <w:color w:val="000000"/>
        </w:rPr>
        <w:t xml:space="preserve"> for </w:t>
      </w:r>
      <w:r w:rsidR="00471DE4" w:rsidRPr="0014556C">
        <w:rPr>
          <w:rFonts w:asciiTheme="majorHAnsi" w:hAnsiTheme="majorHAnsi" w:cstheme="majorHAnsi"/>
          <w:color w:val="000000"/>
        </w:rPr>
        <w:t xml:space="preserve">breeding as well as </w:t>
      </w:r>
      <w:r w:rsidR="002B167F" w:rsidRPr="0014556C">
        <w:rPr>
          <w:rFonts w:asciiTheme="majorHAnsi" w:hAnsiTheme="majorHAnsi" w:cstheme="majorHAnsi"/>
          <w:color w:val="000000"/>
        </w:rPr>
        <w:t xml:space="preserve">new vaccine and prophylactic targets. CRISPR screens recently </w:t>
      </w:r>
      <w:r w:rsidR="006A2D69" w:rsidRPr="0014556C">
        <w:rPr>
          <w:rFonts w:asciiTheme="majorHAnsi" w:hAnsiTheme="majorHAnsi" w:cstheme="majorHAnsi"/>
          <w:color w:val="000000"/>
        </w:rPr>
        <w:t>facilitated</w:t>
      </w:r>
      <w:r w:rsidR="002B167F" w:rsidRPr="0014556C">
        <w:rPr>
          <w:rFonts w:asciiTheme="majorHAnsi" w:hAnsiTheme="majorHAnsi" w:cstheme="majorHAnsi"/>
          <w:color w:val="000000"/>
        </w:rPr>
        <w:t xml:space="preserve"> the discovery that the non-classical major histocompatibility complex II protein SLA-DM is crucial for African swine fever virus replication</w:t>
      </w:r>
      <w:r w:rsidR="006A2D69" w:rsidRPr="0014556C">
        <w:rPr>
          <w:rFonts w:asciiTheme="majorHAnsi" w:hAnsiTheme="majorHAnsi" w:cstheme="majorHAnsi"/>
          <w:color w:val="000000"/>
        </w:rPr>
        <w:t xml:space="preserve"> and identified host factors important for the replication of Porcine Reproductive and Respiratory Syndrome Virus (PRRSV)</w:t>
      </w:r>
      <w:r w:rsidR="00471DE4" w:rsidRPr="0014556C">
        <w:rPr>
          <w:rFonts w:asciiTheme="majorHAnsi" w:hAnsiTheme="majorHAnsi" w:cstheme="majorHAnsi"/>
          <w:color w:val="000000"/>
        </w:rPr>
        <w:t xml:space="preserve">. These studies </w:t>
      </w:r>
      <w:r w:rsidR="002B167F" w:rsidRPr="0014556C">
        <w:rPr>
          <w:rFonts w:asciiTheme="majorHAnsi" w:hAnsiTheme="majorHAnsi" w:cstheme="majorHAnsi"/>
          <w:color w:val="000000"/>
        </w:rPr>
        <w:t xml:space="preserve">highlight the potential of this technology for providing a route to application of functional genomic information </w:t>
      </w:r>
      <w:r w:rsidR="00471DE4" w:rsidRPr="0014556C">
        <w:rPr>
          <w:rFonts w:asciiTheme="majorHAnsi" w:hAnsiTheme="majorHAnsi" w:cstheme="majorHAnsi"/>
          <w:color w:val="000000"/>
        </w:rPr>
        <w:t>for</w:t>
      </w:r>
      <w:r w:rsidR="002B167F" w:rsidRPr="0014556C">
        <w:rPr>
          <w:rFonts w:asciiTheme="majorHAnsi" w:hAnsiTheme="majorHAnsi" w:cstheme="majorHAnsi"/>
          <w:color w:val="000000"/>
        </w:rPr>
        <w:t xml:space="preserve"> better understanding the genomic control of disease resistance in farmed animals.</w:t>
      </w:r>
      <w:r w:rsidRPr="0014556C">
        <w:rPr>
          <w:rFonts w:asciiTheme="majorHAnsi" w:hAnsiTheme="majorHAnsi" w:cstheme="majorHAnsi"/>
          <w:color w:val="000000"/>
        </w:rPr>
        <w:t xml:space="preserve"> Scaling this potential up using </w:t>
      </w:r>
      <w:r w:rsidR="009E47AE" w:rsidRPr="0014556C">
        <w:rPr>
          <w:rFonts w:asciiTheme="majorHAnsi" w:hAnsiTheme="majorHAnsi" w:cstheme="majorHAnsi"/>
          <w:color w:val="000000"/>
        </w:rPr>
        <w:t>high-throughput</w:t>
      </w:r>
      <w:r w:rsidRPr="0014556C">
        <w:rPr>
          <w:rFonts w:asciiTheme="majorHAnsi" w:hAnsiTheme="majorHAnsi" w:cstheme="majorHAnsi"/>
          <w:color w:val="000000"/>
        </w:rPr>
        <w:t xml:space="preserve"> cellular phenotyping systems</w:t>
      </w:r>
      <w:r w:rsidRPr="0014556C">
        <w:rPr>
          <w:rFonts w:asciiTheme="majorHAnsi" w:hAnsiTheme="majorHAnsi" w:cstheme="majorHAnsi"/>
          <w:color w:val="000000"/>
        </w:rPr>
        <w:t xml:space="preserve"> provides even further power through the ability to screen 100’s of 1000’s of </w:t>
      </w:r>
      <w:r w:rsidR="009E47AE" w:rsidRPr="0014556C">
        <w:rPr>
          <w:rFonts w:asciiTheme="majorHAnsi" w:hAnsiTheme="majorHAnsi" w:cstheme="majorHAnsi"/>
          <w:color w:val="000000"/>
        </w:rPr>
        <w:t>alleles</w:t>
      </w:r>
      <w:r w:rsidRPr="0014556C">
        <w:rPr>
          <w:rFonts w:asciiTheme="majorHAnsi" w:hAnsiTheme="majorHAnsi" w:cstheme="majorHAnsi"/>
          <w:color w:val="000000"/>
        </w:rPr>
        <w:t xml:space="preserve"> in multiple different </w:t>
      </w:r>
      <w:r w:rsidR="009E47AE" w:rsidRPr="0014556C">
        <w:rPr>
          <w:rFonts w:asciiTheme="majorHAnsi" w:hAnsiTheme="majorHAnsi" w:cstheme="majorHAnsi"/>
          <w:color w:val="000000"/>
        </w:rPr>
        <w:t>cellular systems</w:t>
      </w:r>
      <w:r w:rsidRPr="0014556C">
        <w:rPr>
          <w:rFonts w:asciiTheme="majorHAnsi" w:hAnsiTheme="majorHAnsi" w:cstheme="majorHAnsi"/>
          <w:color w:val="000000"/>
        </w:rPr>
        <w:t xml:space="preserve">. </w:t>
      </w:r>
    </w:p>
    <w:p w14:paraId="64F37332" w14:textId="77777777" w:rsidR="00471DE4" w:rsidRPr="0014556C" w:rsidRDefault="00471DE4" w:rsidP="006A2D69">
      <w:pPr>
        <w:jc w:val="both"/>
        <w:rPr>
          <w:rFonts w:asciiTheme="majorHAnsi" w:hAnsiTheme="majorHAnsi" w:cstheme="majorHAnsi"/>
          <w:color w:val="000000"/>
        </w:rPr>
      </w:pPr>
    </w:p>
    <w:p w14:paraId="2327E897" w14:textId="3DE43F7C" w:rsidR="00471DE4" w:rsidRPr="0014556C" w:rsidRDefault="00471DE4" w:rsidP="00471DE4">
      <w:pPr>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D</w:t>
      </w:r>
      <w:r w:rsidR="0073767A" w:rsidRPr="0014556C">
        <w:rPr>
          <w:rFonts w:asciiTheme="majorHAnsi" w:eastAsia="Century Gothic" w:hAnsiTheme="majorHAnsi" w:cstheme="majorHAnsi"/>
          <w:color w:val="000000" w:themeColor="text1"/>
        </w:rPr>
        <w:t xml:space="preserve">eliverable </w:t>
      </w:r>
      <w:r w:rsidRPr="0014556C">
        <w:rPr>
          <w:rFonts w:asciiTheme="majorHAnsi" w:eastAsia="Century Gothic" w:hAnsiTheme="majorHAnsi" w:cstheme="majorHAnsi"/>
          <w:color w:val="000000" w:themeColor="text1"/>
        </w:rPr>
        <w:t xml:space="preserve">5.1 explores the potential of </w:t>
      </w:r>
      <w:r w:rsidR="0073767A" w:rsidRPr="0014556C">
        <w:rPr>
          <w:rFonts w:asciiTheme="majorHAnsi" w:eastAsia="Century Gothic" w:hAnsiTheme="majorHAnsi" w:cstheme="majorHAnsi"/>
          <w:color w:val="000000" w:themeColor="text1"/>
        </w:rPr>
        <w:t>genome wide</w:t>
      </w:r>
      <w:r w:rsidRPr="0014556C">
        <w:rPr>
          <w:rFonts w:asciiTheme="majorHAnsi" w:eastAsia="Century Gothic" w:hAnsiTheme="majorHAnsi" w:cstheme="majorHAnsi"/>
          <w:color w:val="000000" w:themeColor="text1"/>
        </w:rPr>
        <w:t xml:space="preserve"> CRISPR screens</w:t>
      </w:r>
      <w:r w:rsidR="0073767A" w:rsidRPr="0014556C">
        <w:rPr>
          <w:rFonts w:asciiTheme="majorHAnsi" w:eastAsia="Century Gothic" w:hAnsiTheme="majorHAnsi" w:cstheme="majorHAnsi"/>
          <w:color w:val="000000" w:themeColor="text1"/>
        </w:rPr>
        <w:t xml:space="preserve">, and other </w:t>
      </w:r>
      <w:r w:rsidR="009E47AE" w:rsidRPr="0014556C">
        <w:rPr>
          <w:rFonts w:asciiTheme="majorHAnsi" w:eastAsia="Century Gothic" w:hAnsiTheme="majorHAnsi" w:cstheme="majorHAnsi"/>
          <w:color w:val="000000" w:themeColor="text1"/>
        </w:rPr>
        <w:t>highly scalable functional validation tools</w:t>
      </w:r>
      <w:r w:rsidR="0073767A" w:rsidRPr="0014556C">
        <w:rPr>
          <w:rFonts w:asciiTheme="majorHAnsi" w:eastAsia="Century Gothic" w:hAnsiTheme="majorHAnsi" w:cstheme="majorHAnsi"/>
          <w:color w:val="000000" w:themeColor="text1"/>
        </w:rPr>
        <w:t>,</w:t>
      </w:r>
      <w:r w:rsidRPr="0014556C">
        <w:rPr>
          <w:rFonts w:asciiTheme="majorHAnsi" w:eastAsia="Century Gothic" w:hAnsiTheme="majorHAnsi" w:cstheme="majorHAnsi"/>
          <w:color w:val="000000" w:themeColor="text1"/>
        </w:rPr>
        <w:t xml:space="preserve"> for farmed animals and outlines the barriers and opportunities for applying the technology in farmed animals. </w:t>
      </w:r>
      <w:r w:rsidR="001F09AD" w:rsidRPr="0014556C">
        <w:rPr>
          <w:rFonts w:asciiTheme="majorHAnsi" w:eastAsia="Century Gothic" w:hAnsiTheme="majorHAnsi" w:cstheme="majorHAnsi"/>
          <w:color w:val="000000" w:themeColor="text1"/>
        </w:rPr>
        <w:t xml:space="preserve">It also examines the </w:t>
      </w:r>
      <w:r w:rsidR="0073767A" w:rsidRPr="0014556C">
        <w:rPr>
          <w:rFonts w:asciiTheme="majorHAnsi" w:eastAsia="Century Gothic" w:hAnsiTheme="majorHAnsi" w:cstheme="majorHAnsi"/>
          <w:color w:val="000000" w:themeColor="text1"/>
        </w:rPr>
        <w:t>availability and access to</w:t>
      </w:r>
      <w:r w:rsidR="001F09AD" w:rsidRPr="0014556C">
        <w:rPr>
          <w:rFonts w:asciiTheme="majorHAnsi" w:eastAsia="Century Gothic" w:hAnsiTheme="majorHAnsi" w:cstheme="majorHAnsi"/>
          <w:color w:val="000000" w:themeColor="text1"/>
        </w:rPr>
        <w:t xml:space="preserve"> </w:t>
      </w:r>
      <w:r w:rsidR="001F09AD" w:rsidRPr="0014556C">
        <w:rPr>
          <w:rFonts w:asciiTheme="majorHAnsi" w:eastAsia="Century Gothic" w:hAnsiTheme="majorHAnsi" w:cstheme="majorHAnsi"/>
          <w:color w:val="000000" w:themeColor="text1"/>
        </w:rPr>
        <w:t>high-throughput cellular phenotyping platforms</w:t>
      </w:r>
      <w:r w:rsidR="0073767A" w:rsidRPr="0014556C">
        <w:rPr>
          <w:rFonts w:asciiTheme="majorHAnsi" w:eastAsia="Century Gothic" w:hAnsiTheme="majorHAnsi" w:cstheme="majorHAnsi"/>
          <w:color w:val="000000" w:themeColor="text1"/>
        </w:rPr>
        <w:t xml:space="preserve"> in Europe and the how capacity could be built to perform genome wide CRISPR screens at scale in farmed animals.</w:t>
      </w:r>
      <w:r w:rsidR="001F09AD" w:rsidRPr="0014556C">
        <w:rPr>
          <w:rFonts w:asciiTheme="majorHAnsi" w:eastAsia="Century Gothic" w:hAnsiTheme="majorHAnsi" w:cstheme="majorHAnsi"/>
          <w:color w:val="000000" w:themeColor="text1"/>
        </w:rPr>
        <w:t xml:space="preserve"> </w:t>
      </w:r>
      <w:r w:rsidRPr="0014556C">
        <w:rPr>
          <w:rFonts w:asciiTheme="majorHAnsi" w:eastAsia="Century Gothic" w:hAnsiTheme="majorHAnsi" w:cstheme="majorHAnsi"/>
          <w:color w:val="000000" w:themeColor="text1"/>
        </w:rPr>
        <w:t xml:space="preserve">Based on this information a hypothetical access request to the </w:t>
      </w:r>
      <w:proofErr w:type="spellStart"/>
      <w:r w:rsidRPr="0014556C">
        <w:rPr>
          <w:rFonts w:asciiTheme="majorHAnsi" w:eastAsia="Century Gothic" w:hAnsiTheme="majorHAnsi" w:cstheme="majorHAnsi"/>
          <w:color w:val="000000" w:themeColor="text1"/>
        </w:rPr>
        <w:t>EuroFAANG</w:t>
      </w:r>
      <w:proofErr w:type="spellEnd"/>
      <w:r w:rsidRPr="0014556C">
        <w:rPr>
          <w:rFonts w:asciiTheme="majorHAnsi" w:eastAsia="Century Gothic" w:hAnsiTheme="majorHAnsi" w:cstheme="majorHAnsi"/>
          <w:color w:val="000000" w:themeColor="text1"/>
        </w:rPr>
        <w:t xml:space="preserve"> research infrastructure to </w:t>
      </w:r>
      <w:r w:rsidR="0073767A" w:rsidRPr="0014556C">
        <w:rPr>
          <w:rFonts w:asciiTheme="majorHAnsi" w:eastAsia="Century Gothic" w:hAnsiTheme="majorHAnsi" w:cstheme="majorHAnsi"/>
          <w:color w:val="000000" w:themeColor="text1"/>
        </w:rPr>
        <w:t xml:space="preserve">use CRISPR screens to </w:t>
      </w:r>
      <w:r w:rsidRPr="0014556C">
        <w:rPr>
          <w:rFonts w:asciiTheme="majorHAnsi" w:eastAsia="Century Gothic" w:hAnsiTheme="majorHAnsi" w:cstheme="majorHAnsi"/>
          <w:color w:val="000000" w:themeColor="text1"/>
        </w:rPr>
        <w:t>identify resistance alleles for a viral pathogen in pigs is included in this deliverable.</w:t>
      </w:r>
    </w:p>
    <w:p w14:paraId="44EBBFBF" w14:textId="77777777" w:rsidR="00471DE4" w:rsidRPr="0014556C" w:rsidRDefault="00471DE4" w:rsidP="006A2D69">
      <w:pPr>
        <w:jc w:val="both"/>
        <w:rPr>
          <w:rFonts w:asciiTheme="majorHAnsi" w:eastAsia="Century Gothic" w:hAnsiTheme="majorHAnsi" w:cstheme="majorHAnsi"/>
          <w:color w:val="000000" w:themeColor="text1"/>
        </w:rPr>
      </w:pPr>
    </w:p>
    <w:p w14:paraId="751350E5" w14:textId="420D7B14" w:rsidR="00284822" w:rsidRPr="0014556C" w:rsidRDefault="00085C45" w:rsidP="00492041">
      <w:pPr>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 xml:space="preserve">The results presented in this deliverable are the consolidated outputs of assessment of capacity for </w:t>
      </w:r>
      <w:r w:rsidRPr="0014556C">
        <w:rPr>
          <w:rFonts w:asciiTheme="majorHAnsi" w:hAnsiTheme="majorHAnsi" w:cstheme="majorHAnsi"/>
        </w:rPr>
        <w:t>high throughput cellular phenotyping, functional assays and CRISPR screens for farmed animals across Europe,</w:t>
      </w:r>
      <w:r w:rsidRPr="0014556C">
        <w:rPr>
          <w:rFonts w:asciiTheme="majorHAnsi" w:eastAsia="Century Gothic" w:hAnsiTheme="majorHAnsi" w:cstheme="majorHAnsi"/>
          <w:color w:val="000000" w:themeColor="text1"/>
        </w:rPr>
        <w:t xml:space="preserve"> discussion within the </w:t>
      </w:r>
      <w:proofErr w:type="spellStart"/>
      <w:r w:rsidRPr="0014556C">
        <w:rPr>
          <w:rFonts w:asciiTheme="majorHAnsi" w:eastAsia="Century Gothic" w:hAnsiTheme="majorHAnsi" w:cstheme="majorHAnsi"/>
          <w:color w:val="000000" w:themeColor="text1"/>
        </w:rPr>
        <w:t>EuroFAANG</w:t>
      </w:r>
      <w:proofErr w:type="spellEnd"/>
      <w:r w:rsidRPr="0014556C">
        <w:rPr>
          <w:rFonts w:asciiTheme="majorHAnsi" w:eastAsia="Century Gothic" w:hAnsiTheme="majorHAnsi" w:cstheme="majorHAnsi"/>
          <w:color w:val="000000" w:themeColor="text1"/>
        </w:rPr>
        <w:t xml:space="preserve"> European Think-Tank on genome editing</w:t>
      </w:r>
      <w:r w:rsidR="0073767A" w:rsidRPr="0014556C">
        <w:rPr>
          <w:rFonts w:asciiTheme="majorHAnsi" w:eastAsia="Century Gothic" w:hAnsiTheme="majorHAnsi" w:cstheme="majorHAnsi"/>
          <w:color w:val="000000" w:themeColor="text1"/>
        </w:rPr>
        <w:t>,</w:t>
      </w:r>
      <w:r w:rsidRPr="0014556C">
        <w:rPr>
          <w:rFonts w:asciiTheme="majorHAnsi" w:eastAsia="Century Gothic" w:hAnsiTheme="majorHAnsi" w:cstheme="majorHAnsi"/>
          <w:color w:val="000000" w:themeColor="text1"/>
        </w:rPr>
        <w:t xml:space="preserve"> and a webinar given by Dr Finn Grey from UEDIN</w:t>
      </w:r>
      <w:r w:rsidR="0073767A" w:rsidRPr="0014556C">
        <w:rPr>
          <w:rFonts w:asciiTheme="majorHAnsi" w:eastAsia="Century Gothic" w:hAnsiTheme="majorHAnsi" w:cstheme="majorHAnsi"/>
          <w:color w:val="000000" w:themeColor="text1"/>
        </w:rPr>
        <w:t>,</w:t>
      </w:r>
      <w:r w:rsidRPr="0014556C">
        <w:rPr>
          <w:rFonts w:asciiTheme="majorHAnsi" w:eastAsia="Century Gothic" w:hAnsiTheme="majorHAnsi" w:cstheme="majorHAnsi"/>
          <w:color w:val="000000" w:themeColor="text1"/>
        </w:rPr>
        <w:t xml:space="preserve"> an expert in the field in May 2024. </w:t>
      </w:r>
      <w:r w:rsidR="00FE61A9" w:rsidRPr="0014556C">
        <w:rPr>
          <w:rFonts w:asciiTheme="majorHAnsi" w:eastAsia="Century Gothic" w:hAnsiTheme="majorHAnsi" w:cstheme="majorHAnsi"/>
          <w:color w:val="000000" w:themeColor="text1"/>
        </w:rPr>
        <w:t>This deliverable is linked to D5.2</w:t>
      </w:r>
      <w:r w:rsidR="00023B08" w:rsidRPr="0014556C">
        <w:rPr>
          <w:rFonts w:asciiTheme="majorHAnsi" w:eastAsia="Century Gothic" w:hAnsiTheme="majorHAnsi" w:cstheme="majorHAnsi"/>
          <w:color w:val="000000" w:themeColor="text1"/>
        </w:rPr>
        <w:t>, which provides a consolidated list of labs using genome editing in farmed animals</w:t>
      </w:r>
      <w:r w:rsidR="00D20910" w:rsidRPr="0014556C">
        <w:rPr>
          <w:rFonts w:asciiTheme="majorHAnsi" w:eastAsia="Century Gothic" w:hAnsiTheme="majorHAnsi" w:cstheme="majorHAnsi"/>
          <w:color w:val="000000" w:themeColor="text1"/>
        </w:rPr>
        <w:t xml:space="preserve"> in Europe</w:t>
      </w:r>
      <w:r w:rsidR="00023B08" w:rsidRPr="0014556C">
        <w:rPr>
          <w:rFonts w:asciiTheme="majorHAnsi" w:eastAsia="Century Gothic" w:hAnsiTheme="majorHAnsi" w:cstheme="majorHAnsi"/>
          <w:color w:val="000000" w:themeColor="text1"/>
        </w:rPr>
        <w:t>,</w:t>
      </w:r>
      <w:r w:rsidR="007E1C18" w:rsidRPr="0014556C">
        <w:rPr>
          <w:rFonts w:asciiTheme="majorHAnsi" w:eastAsia="Century Gothic" w:hAnsiTheme="majorHAnsi" w:cstheme="majorHAnsi"/>
          <w:color w:val="000000" w:themeColor="text1"/>
        </w:rPr>
        <w:t xml:space="preserve"> D5.3 which describes the barriers and opportunities related to </w:t>
      </w:r>
      <w:r w:rsidR="0073767A" w:rsidRPr="0014556C">
        <w:rPr>
          <w:rFonts w:asciiTheme="majorHAnsi" w:eastAsia="Century Gothic" w:hAnsiTheme="majorHAnsi" w:cstheme="majorHAnsi"/>
          <w:color w:val="000000" w:themeColor="text1"/>
        </w:rPr>
        <w:t xml:space="preserve">genome editing </w:t>
      </w:r>
      <w:r w:rsidR="007E1C18" w:rsidRPr="0014556C">
        <w:rPr>
          <w:rFonts w:asciiTheme="majorHAnsi" w:eastAsia="Century Gothic" w:hAnsiTheme="majorHAnsi" w:cstheme="majorHAnsi"/>
          <w:color w:val="000000" w:themeColor="text1"/>
        </w:rPr>
        <w:t>technology,</w:t>
      </w:r>
      <w:r w:rsidR="00FE61A9" w:rsidRPr="0014556C">
        <w:rPr>
          <w:rFonts w:asciiTheme="majorHAnsi" w:eastAsia="Century Gothic" w:hAnsiTheme="majorHAnsi" w:cstheme="majorHAnsi"/>
          <w:color w:val="000000" w:themeColor="text1"/>
        </w:rPr>
        <w:t xml:space="preserve"> and D5.5</w:t>
      </w:r>
      <w:r w:rsidR="00023B08" w:rsidRPr="0014556C">
        <w:rPr>
          <w:rFonts w:asciiTheme="majorHAnsi" w:eastAsia="Century Gothic" w:hAnsiTheme="majorHAnsi" w:cstheme="majorHAnsi"/>
          <w:color w:val="000000" w:themeColor="text1"/>
        </w:rPr>
        <w:t xml:space="preserve"> which focuses on formation of the </w:t>
      </w:r>
      <w:proofErr w:type="spellStart"/>
      <w:r w:rsidR="00023B08" w:rsidRPr="0014556C">
        <w:rPr>
          <w:rFonts w:asciiTheme="majorHAnsi" w:eastAsia="Century Gothic" w:hAnsiTheme="majorHAnsi" w:cstheme="majorHAnsi"/>
          <w:color w:val="000000" w:themeColor="text1"/>
        </w:rPr>
        <w:t>EuroFAANG</w:t>
      </w:r>
      <w:proofErr w:type="spellEnd"/>
      <w:r w:rsidR="00023B08" w:rsidRPr="0014556C">
        <w:rPr>
          <w:rFonts w:asciiTheme="majorHAnsi" w:eastAsia="Century Gothic" w:hAnsiTheme="majorHAnsi" w:cstheme="majorHAnsi"/>
          <w:color w:val="000000" w:themeColor="text1"/>
        </w:rPr>
        <w:t xml:space="preserve"> Research Infrastructure (RI) ‘think-tank’ on genome editing.</w:t>
      </w:r>
      <w:r w:rsidR="00D20910" w:rsidRPr="0014556C">
        <w:rPr>
          <w:rFonts w:asciiTheme="majorHAnsi" w:eastAsia="Century Gothic" w:hAnsiTheme="majorHAnsi" w:cstheme="majorHAnsi"/>
          <w:color w:val="000000" w:themeColor="text1"/>
        </w:rPr>
        <w:t xml:space="preserve"> </w:t>
      </w:r>
    </w:p>
    <w:p w14:paraId="11FA5B61" w14:textId="4C904C50" w:rsidR="00966E4E" w:rsidRPr="0014556C" w:rsidRDefault="00966E4E">
      <w:pPr>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br w:type="page"/>
      </w:r>
    </w:p>
    <w:p w14:paraId="74B3E2E8" w14:textId="2762E1F7" w:rsidR="00055590" w:rsidRPr="0014556C" w:rsidRDefault="004C535E" w:rsidP="004C535E">
      <w:pPr>
        <w:pStyle w:val="Heading1"/>
        <w:ind w:left="357" w:hanging="357"/>
        <w:rPr>
          <w:rFonts w:asciiTheme="majorHAnsi" w:hAnsiTheme="majorHAnsi" w:cstheme="majorHAnsi"/>
        </w:rPr>
      </w:pPr>
      <w:bookmarkStart w:id="2" w:name="_Toc170418862"/>
      <w:r w:rsidRPr="0014556C">
        <w:rPr>
          <w:rFonts w:asciiTheme="majorHAnsi" w:hAnsiTheme="majorHAnsi" w:cstheme="majorHAnsi"/>
        </w:rPr>
        <w:lastRenderedPageBreak/>
        <w:t>Introduction</w:t>
      </w:r>
      <w:bookmarkEnd w:id="2"/>
    </w:p>
    <w:p w14:paraId="6CBAF003" w14:textId="7CA70DF8" w:rsidR="0012759F" w:rsidRPr="0014556C" w:rsidRDefault="0012759F" w:rsidP="00FE61A9">
      <w:pPr>
        <w:jc w:val="both"/>
        <w:rPr>
          <w:rFonts w:asciiTheme="majorHAnsi" w:hAnsiTheme="majorHAnsi" w:cstheme="majorHAnsi"/>
          <w:lang w:val="en-US"/>
        </w:rPr>
      </w:pPr>
      <w:r w:rsidRPr="0014556C">
        <w:rPr>
          <w:rFonts w:asciiTheme="majorHAnsi" w:hAnsiTheme="majorHAnsi" w:cstheme="majorHAnsi"/>
          <w:lang w:val="en-US"/>
        </w:rPr>
        <w:t xml:space="preserve">The </w:t>
      </w:r>
      <w:proofErr w:type="spellStart"/>
      <w:r w:rsidR="00213E7B" w:rsidRPr="0014556C">
        <w:rPr>
          <w:rFonts w:asciiTheme="majorHAnsi" w:hAnsiTheme="majorHAnsi" w:cstheme="majorHAnsi"/>
          <w:lang w:val="en-US"/>
        </w:rPr>
        <w:t>EuroFAANG</w:t>
      </w:r>
      <w:proofErr w:type="spellEnd"/>
      <w:r w:rsidR="00213E7B" w:rsidRPr="0014556C">
        <w:rPr>
          <w:rFonts w:asciiTheme="majorHAnsi" w:hAnsiTheme="majorHAnsi" w:cstheme="majorHAnsi"/>
          <w:lang w:val="en-US"/>
        </w:rPr>
        <w:t xml:space="preserve"> RI </w:t>
      </w:r>
      <w:r w:rsidR="00FA0AE8" w:rsidRPr="0014556C">
        <w:rPr>
          <w:rFonts w:asciiTheme="majorHAnsi" w:hAnsiTheme="majorHAnsi" w:cstheme="majorHAnsi"/>
          <w:lang w:val="en-US"/>
        </w:rPr>
        <w:t xml:space="preserve">project </w:t>
      </w:r>
      <w:r w:rsidR="00213E7B" w:rsidRPr="0014556C">
        <w:rPr>
          <w:rFonts w:asciiTheme="majorHAnsi" w:hAnsiTheme="majorHAnsi" w:cstheme="majorHAnsi"/>
          <w:lang w:val="en-US"/>
        </w:rPr>
        <w:t>aims</w:t>
      </w:r>
      <w:r w:rsidRPr="0014556C">
        <w:rPr>
          <w:rFonts w:asciiTheme="majorHAnsi" w:hAnsiTheme="majorHAnsi" w:cstheme="majorHAnsi"/>
          <w:lang w:val="en-US"/>
        </w:rPr>
        <w:t xml:space="preserve"> to</w:t>
      </w:r>
      <w:r w:rsidR="00FA0AE8" w:rsidRPr="0014556C">
        <w:rPr>
          <w:rFonts w:asciiTheme="majorHAnsi" w:hAnsiTheme="majorHAnsi" w:cstheme="majorHAnsi"/>
          <w:lang w:val="en-US"/>
        </w:rPr>
        <w:t xml:space="preserve"> provide a framework to</w:t>
      </w:r>
      <w:r w:rsidRPr="0014556C">
        <w:rPr>
          <w:rFonts w:asciiTheme="majorHAnsi" w:hAnsiTheme="majorHAnsi" w:cstheme="majorHAnsi"/>
          <w:lang w:val="en-US"/>
        </w:rPr>
        <w:t xml:space="preserve"> streamline the use of interdisciplinary capabilities for Genotype</w:t>
      </w:r>
      <w:r w:rsidR="00FE61A9" w:rsidRPr="0014556C">
        <w:rPr>
          <w:rFonts w:asciiTheme="majorHAnsi" w:hAnsiTheme="majorHAnsi" w:cstheme="majorHAnsi"/>
          <w:lang w:val="en-US"/>
        </w:rPr>
        <w:t>-to-</w:t>
      </w:r>
      <w:r w:rsidRPr="0014556C">
        <w:rPr>
          <w:rFonts w:asciiTheme="majorHAnsi" w:hAnsiTheme="majorHAnsi" w:cstheme="majorHAnsi"/>
          <w:lang w:val="en-US"/>
        </w:rPr>
        <w:t xml:space="preserve">Phenotype </w:t>
      </w:r>
      <w:r w:rsidR="00FE61A9" w:rsidRPr="0014556C">
        <w:rPr>
          <w:rFonts w:asciiTheme="majorHAnsi" w:hAnsiTheme="majorHAnsi" w:cstheme="majorHAnsi"/>
          <w:lang w:val="en-US"/>
        </w:rPr>
        <w:t xml:space="preserve">(G2P) </w:t>
      </w:r>
      <w:r w:rsidRPr="0014556C">
        <w:rPr>
          <w:rFonts w:asciiTheme="majorHAnsi" w:hAnsiTheme="majorHAnsi" w:cstheme="majorHAnsi"/>
          <w:lang w:val="en-US"/>
        </w:rPr>
        <w:t xml:space="preserve">research in terrestrial and aquatic farmed animals and provide transnational access to </w:t>
      </w:r>
      <w:proofErr w:type="gramStart"/>
      <w:r w:rsidR="00213E7B" w:rsidRPr="0014556C">
        <w:rPr>
          <w:rFonts w:asciiTheme="majorHAnsi" w:hAnsiTheme="majorHAnsi" w:cstheme="majorHAnsi"/>
          <w:lang w:val="en-US"/>
        </w:rPr>
        <w:t>all</w:t>
      </w:r>
      <w:r w:rsidR="00FE61A9" w:rsidRPr="0014556C">
        <w:rPr>
          <w:rFonts w:asciiTheme="majorHAnsi" w:hAnsiTheme="majorHAnsi" w:cstheme="majorHAnsi"/>
          <w:lang w:val="en-US"/>
        </w:rPr>
        <w:t xml:space="preserve"> of</w:t>
      </w:r>
      <w:proofErr w:type="gramEnd"/>
      <w:r w:rsidRPr="0014556C">
        <w:rPr>
          <w:rFonts w:asciiTheme="majorHAnsi" w:hAnsiTheme="majorHAnsi" w:cstheme="majorHAnsi"/>
          <w:lang w:val="en-US"/>
        </w:rPr>
        <w:t xml:space="preserve"> the relevant facilities, expertise and knowledge to European stakeholders. This will address the need to bring together national facilities at the pan-European level in the field of animal genetic resources, phenotyping and breeding, and animal health, which was identified as a gap in the infrastructure landscape by the 2021 ESFRI Roadmap. </w:t>
      </w:r>
    </w:p>
    <w:p w14:paraId="10334F70" w14:textId="77777777" w:rsidR="00BB2F22" w:rsidRPr="0014556C" w:rsidRDefault="00BB2F22" w:rsidP="00FE61A9">
      <w:pPr>
        <w:jc w:val="both"/>
        <w:rPr>
          <w:rFonts w:asciiTheme="majorHAnsi" w:hAnsiTheme="majorHAnsi" w:cstheme="majorHAnsi"/>
          <w:lang w:val="en-US"/>
        </w:rPr>
      </w:pPr>
    </w:p>
    <w:p w14:paraId="46CABCCE" w14:textId="3C511439" w:rsidR="00E1028B" w:rsidRPr="0014556C" w:rsidRDefault="00213E7B" w:rsidP="00FE61A9">
      <w:pPr>
        <w:jc w:val="both"/>
        <w:rPr>
          <w:rFonts w:asciiTheme="majorHAnsi" w:hAnsiTheme="majorHAnsi" w:cstheme="majorHAnsi"/>
          <w:lang w:val="en-US"/>
        </w:rPr>
      </w:pPr>
      <w:r w:rsidRPr="0014556C">
        <w:rPr>
          <w:rFonts w:asciiTheme="majorHAnsi" w:hAnsiTheme="majorHAnsi" w:cstheme="majorHAnsi"/>
          <w:lang w:val="en-US"/>
        </w:rPr>
        <w:t xml:space="preserve">Within this framework, </w:t>
      </w:r>
      <w:r w:rsidR="007E32F1" w:rsidRPr="0014556C">
        <w:rPr>
          <w:rFonts w:asciiTheme="majorHAnsi" w:hAnsiTheme="majorHAnsi" w:cstheme="majorHAnsi"/>
          <w:lang w:val="en-US"/>
        </w:rPr>
        <w:t>work package</w:t>
      </w:r>
      <w:r w:rsidR="00DA76D5" w:rsidRPr="0014556C">
        <w:rPr>
          <w:rFonts w:asciiTheme="majorHAnsi" w:hAnsiTheme="majorHAnsi" w:cstheme="majorHAnsi"/>
          <w:lang w:val="en-US"/>
        </w:rPr>
        <w:t xml:space="preserve"> (WP) 5 aims to develop a framework for sharing and expanding capabilities in genome editing as a route to </w:t>
      </w:r>
      <w:r w:rsidR="00386306" w:rsidRPr="0014556C">
        <w:rPr>
          <w:rFonts w:asciiTheme="majorHAnsi" w:hAnsiTheme="majorHAnsi" w:cstheme="majorHAnsi"/>
          <w:lang w:val="en-US"/>
        </w:rPr>
        <w:t>applying</w:t>
      </w:r>
      <w:r w:rsidR="00DA76D5" w:rsidRPr="0014556C">
        <w:rPr>
          <w:rFonts w:asciiTheme="majorHAnsi" w:hAnsiTheme="majorHAnsi" w:cstheme="majorHAnsi"/>
          <w:lang w:val="en-US"/>
        </w:rPr>
        <w:t xml:space="preserve"> FAANG data for understanding the </w:t>
      </w:r>
      <w:r w:rsidR="00391890" w:rsidRPr="0014556C">
        <w:rPr>
          <w:rFonts w:asciiTheme="majorHAnsi" w:hAnsiTheme="majorHAnsi" w:cstheme="majorHAnsi"/>
          <w:lang w:val="en-US"/>
        </w:rPr>
        <w:t>genotype-to-phenotype</w:t>
      </w:r>
      <w:r w:rsidR="00501E2F" w:rsidRPr="0014556C">
        <w:rPr>
          <w:rFonts w:asciiTheme="majorHAnsi" w:hAnsiTheme="majorHAnsi" w:cstheme="majorHAnsi"/>
          <w:lang w:val="en-US"/>
        </w:rPr>
        <w:t xml:space="preserve"> link in farmed animals</w:t>
      </w:r>
      <w:r w:rsidR="00D20910" w:rsidRPr="0014556C">
        <w:rPr>
          <w:rFonts w:asciiTheme="majorHAnsi" w:hAnsiTheme="majorHAnsi" w:cstheme="majorHAnsi"/>
          <w:lang w:val="en-US"/>
        </w:rPr>
        <w:t xml:space="preserve"> </w:t>
      </w:r>
      <w:r w:rsidR="00D20910" w:rsidRPr="0014556C">
        <w:rPr>
          <w:rFonts w:asciiTheme="majorHAnsi" w:hAnsiTheme="majorHAnsi" w:cstheme="majorHAnsi"/>
          <w:lang w:val="en-US"/>
        </w:rPr>
        <w:fldChar w:fldCharType="begin" w:fldLock="1"/>
      </w:r>
      <w:r w:rsidR="0014556C" w:rsidRPr="0014556C">
        <w:rPr>
          <w:rFonts w:asciiTheme="majorHAnsi" w:hAnsiTheme="majorHAnsi" w:cstheme="majorHAnsi"/>
          <w:lang w:val="en-US"/>
        </w:rPr>
        <w:instrText xml:space="preserve"> ADDIN ZOTERO_ITEM CSL_CITATION {"citationID":"eKZY6hxA","properties":{"formattedCitation":"(1)","plainCitation":"(1)","noteIndex":0},"citationItems":[{"id":"YEZZUd3L/un8zocFr","uris":["http://www.mendeley.com/documents/?uuid=0fa163ff-06a1-4ebc-bd95-c5bdc7284862"],"itemData":{"DOI":"10.1186/s13059-020-02197-8","ISSN":"1474-760X","author":[{"dropping-particle":"","family":"Clark","given":"Emily L","non-dropping-particle":"","parse-names":false,"suffix":""},{"dropping-particle":"","family":"Archibald","given":"Alan L","non-dropping-particle":"","parse-names":false,"suffix":""},{"dropping-particle":"","family":"Daetwyler","given":"Hans D","non-dropping-particle":"","parse-names":false,"suffix":""},{"dropping-particle":"","family":"Groenen","given":"Martien A M","non-dropping-particle":"","parse-names":false,"suffix":""},{"dropping-particle":"","family":"Harrison","given":"Peter W","non-dropping-particle":"","parse-names":false,"suffix":""},{"dropping-particle":"","family":"Houston","given":"Ross D","non-dropping-particle":"","parse-names":false,"suffix":""},{"dropping-particle":"","family":"Kühn","given":"Christa","non-dropping-particle":"","parse-names":false,"suffix":""},{"dropping-particle":"","family":"Lien","given":"Sigbjørn","non-dropping-particle":"","parse-names":false,"suffix":""},{"dropping-particle":"","family":"Macqueen","given":"Daniel J","non-dropping-particle":"","parse-names":false,"suffix":""},{"dropping-particle":"","family":"Reecy","given":"James M","non-dropping-particle":"","parse-names":false,"suffix":""},{"dropping-particle":"","family":"Robledo","given":"Diego","non-dropping-particle":"","parse-names":false,"suffix":""},{"dropping-particle":"","family":"Watson","given":"Mick","non-dropping-particle":"","parse-names":false,"suffix":""},{"dropping-particle":"","family":"Tuggle","given":"Christopher K","non-dropping-particle":"","parse-names":false,"suffix":""},{"dropping-particle":"","family":"Giuffra","given":"Elisabetta","non-dropping-particle":"","parse-names":false,"suffix":""}],"container-title":"Genome Biology","id":"ITEM-1","issue":"1","issued":{"date-parts":[["2020"]]},"page":"285","title":"From FAANG to fork: application of highly annotated genomes to improve farmed animal production","type":"article-journal","volume":"21"}}],"schema":"https://github.com/citation-style-language/schema/raw/master/csl-citation.json"} </w:instrText>
      </w:r>
      <w:r w:rsidR="00D20910" w:rsidRPr="0014556C">
        <w:rPr>
          <w:rFonts w:asciiTheme="majorHAnsi" w:hAnsiTheme="majorHAnsi" w:cstheme="majorHAnsi"/>
          <w:lang w:val="en-US"/>
        </w:rPr>
        <w:fldChar w:fldCharType="separate"/>
      </w:r>
      <w:r w:rsidR="0014556C" w:rsidRPr="0014556C">
        <w:rPr>
          <w:rFonts w:asciiTheme="majorHAnsi" w:hAnsiTheme="majorHAnsi" w:cstheme="majorHAnsi"/>
          <w:noProof/>
          <w:lang w:val="en-US"/>
        </w:rPr>
        <w:t>(1)</w:t>
      </w:r>
      <w:r w:rsidR="00D20910" w:rsidRPr="0014556C">
        <w:rPr>
          <w:rFonts w:asciiTheme="majorHAnsi" w:hAnsiTheme="majorHAnsi" w:cstheme="majorHAnsi"/>
          <w:lang w:val="en-US"/>
        </w:rPr>
        <w:fldChar w:fldCharType="end"/>
      </w:r>
      <w:r w:rsidR="00501E2F" w:rsidRPr="0014556C">
        <w:rPr>
          <w:rFonts w:asciiTheme="majorHAnsi" w:hAnsiTheme="majorHAnsi" w:cstheme="majorHAnsi"/>
          <w:lang w:val="en-US"/>
        </w:rPr>
        <w:t>.</w:t>
      </w:r>
      <w:r w:rsidR="00391890" w:rsidRPr="0014556C">
        <w:rPr>
          <w:rFonts w:asciiTheme="majorHAnsi" w:hAnsiTheme="majorHAnsi" w:cstheme="majorHAnsi"/>
          <w:lang w:val="en-US"/>
        </w:rPr>
        <w:t xml:space="preserve"> To achieve this</w:t>
      </w:r>
      <w:r w:rsidR="00FE61A9" w:rsidRPr="0014556C">
        <w:rPr>
          <w:rFonts w:asciiTheme="majorHAnsi" w:hAnsiTheme="majorHAnsi" w:cstheme="majorHAnsi"/>
          <w:lang w:val="en-US"/>
        </w:rPr>
        <w:t xml:space="preserve"> </w:t>
      </w:r>
      <w:r w:rsidR="00D20910" w:rsidRPr="0014556C">
        <w:rPr>
          <w:rFonts w:asciiTheme="majorHAnsi" w:hAnsiTheme="majorHAnsi" w:cstheme="majorHAnsi"/>
          <w:lang w:val="en-US"/>
        </w:rPr>
        <w:t xml:space="preserve">work package 5 </w:t>
      </w:r>
      <w:r w:rsidR="00FE61A9" w:rsidRPr="0014556C">
        <w:rPr>
          <w:rFonts w:asciiTheme="majorHAnsi" w:hAnsiTheme="majorHAnsi" w:cstheme="majorHAnsi"/>
          <w:lang w:val="en-US"/>
        </w:rPr>
        <w:t xml:space="preserve">has </w:t>
      </w:r>
      <w:r w:rsidR="00391890" w:rsidRPr="0014556C">
        <w:rPr>
          <w:rFonts w:asciiTheme="majorHAnsi" w:hAnsiTheme="majorHAnsi" w:cstheme="majorHAnsi"/>
          <w:lang w:val="en-US"/>
        </w:rPr>
        <w:t>three main objectives</w:t>
      </w:r>
      <w:r w:rsidR="004E3066" w:rsidRPr="0014556C">
        <w:rPr>
          <w:rFonts w:asciiTheme="majorHAnsi" w:hAnsiTheme="majorHAnsi" w:cstheme="majorHAnsi"/>
          <w:lang w:val="en-US"/>
        </w:rPr>
        <w:t xml:space="preserve"> or </w:t>
      </w:r>
      <w:r w:rsidR="00FA0AE8" w:rsidRPr="0014556C">
        <w:rPr>
          <w:rFonts w:asciiTheme="majorHAnsi" w:hAnsiTheme="majorHAnsi" w:cstheme="majorHAnsi"/>
          <w:lang w:val="en-US"/>
        </w:rPr>
        <w:t>T</w:t>
      </w:r>
      <w:r w:rsidR="004E3066" w:rsidRPr="0014556C">
        <w:rPr>
          <w:rFonts w:asciiTheme="majorHAnsi" w:hAnsiTheme="majorHAnsi" w:cstheme="majorHAnsi"/>
          <w:lang w:val="en-US"/>
        </w:rPr>
        <w:t>asks</w:t>
      </w:r>
      <w:r w:rsidR="006275F9" w:rsidRPr="0014556C">
        <w:rPr>
          <w:rFonts w:asciiTheme="majorHAnsi" w:hAnsiTheme="majorHAnsi" w:cstheme="majorHAnsi"/>
          <w:lang w:val="en-US"/>
        </w:rPr>
        <w:t>:</w:t>
      </w:r>
    </w:p>
    <w:p w14:paraId="2E1202C4" w14:textId="77777777" w:rsidR="00BB2F22" w:rsidRPr="0014556C" w:rsidRDefault="00BB2F22" w:rsidP="00FE61A9">
      <w:pPr>
        <w:jc w:val="both"/>
        <w:rPr>
          <w:rFonts w:asciiTheme="majorHAnsi" w:hAnsiTheme="majorHAnsi" w:cstheme="majorHAnsi"/>
        </w:rPr>
      </w:pPr>
    </w:p>
    <w:p w14:paraId="7E074A5E" w14:textId="31341583" w:rsidR="00E1028B" w:rsidRPr="0014556C" w:rsidRDefault="00E1028B" w:rsidP="005266A8">
      <w:pPr>
        <w:pStyle w:val="ListParagraph"/>
        <w:numPr>
          <w:ilvl w:val="0"/>
          <w:numId w:val="37"/>
        </w:numPr>
        <w:jc w:val="both"/>
        <w:rPr>
          <w:rFonts w:asciiTheme="majorHAnsi" w:hAnsiTheme="majorHAnsi" w:cstheme="majorHAnsi"/>
        </w:rPr>
      </w:pPr>
      <w:r w:rsidRPr="0014556C">
        <w:rPr>
          <w:rFonts w:asciiTheme="majorHAnsi" w:hAnsiTheme="majorHAnsi" w:cstheme="majorHAnsi"/>
        </w:rPr>
        <w:t xml:space="preserve">Provide a route to </w:t>
      </w:r>
      <w:r w:rsidR="00536797" w:rsidRPr="0014556C">
        <w:rPr>
          <w:rFonts w:asciiTheme="majorHAnsi" w:hAnsiTheme="majorHAnsi" w:cstheme="majorHAnsi"/>
        </w:rPr>
        <w:t xml:space="preserve">the </w:t>
      </w:r>
      <w:r w:rsidRPr="0014556C">
        <w:rPr>
          <w:rFonts w:asciiTheme="majorHAnsi" w:hAnsiTheme="majorHAnsi" w:cstheme="majorHAnsi"/>
        </w:rPr>
        <w:t xml:space="preserve">application of FAANG data </w:t>
      </w:r>
      <w:r w:rsidRPr="0014556C">
        <w:rPr>
          <w:rFonts w:asciiTheme="majorHAnsi" w:hAnsiTheme="majorHAnsi" w:cstheme="majorHAnsi"/>
          <w:i/>
          <w:iCs/>
        </w:rPr>
        <w:t>in vitro</w:t>
      </w:r>
      <w:r w:rsidRPr="0014556C">
        <w:rPr>
          <w:rFonts w:asciiTheme="majorHAnsi" w:hAnsiTheme="majorHAnsi" w:cstheme="majorHAnsi"/>
        </w:rPr>
        <w:t xml:space="preserve"> by creating a framework for access to high-throughput</w:t>
      </w:r>
      <w:r w:rsidR="006275F9" w:rsidRPr="0014556C">
        <w:rPr>
          <w:rFonts w:asciiTheme="majorHAnsi" w:hAnsiTheme="majorHAnsi" w:cstheme="majorHAnsi"/>
        </w:rPr>
        <w:t xml:space="preserve"> </w:t>
      </w:r>
      <w:r w:rsidRPr="0014556C">
        <w:rPr>
          <w:rFonts w:asciiTheme="majorHAnsi" w:hAnsiTheme="majorHAnsi" w:cstheme="majorHAnsi"/>
        </w:rPr>
        <w:t>phenotyping (HTP) platforms for the validation of candidate causal variants</w:t>
      </w:r>
      <w:r w:rsidR="00D20910" w:rsidRPr="0014556C">
        <w:rPr>
          <w:rFonts w:asciiTheme="majorHAnsi" w:hAnsiTheme="majorHAnsi" w:cstheme="majorHAnsi"/>
        </w:rPr>
        <w:t xml:space="preserve"> (D5.</w:t>
      </w:r>
      <w:r w:rsidR="00FA0AE8" w:rsidRPr="0014556C">
        <w:rPr>
          <w:rFonts w:asciiTheme="majorHAnsi" w:hAnsiTheme="majorHAnsi" w:cstheme="majorHAnsi"/>
        </w:rPr>
        <w:t>1</w:t>
      </w:r>
      <w:r w:rsidR="00D20910" w:rsidRPr="0014556C">
        <w:rPr>
          <w:rFonts w:asciiTheme="majorHAnsi" w:hAnsiTheme="majorHAnsi" w:cstheme="majorHAnsi"/>
        </w:rPr>
        <w:t>)</w:t>
      </w:r>
      <w:r w:rsidRPr="0014556C">
        <w:rPr>
          <w:rFonts w:asciiTheme="majorHAnsi" w:hAnsiTheme="majorHAnsi" w:cstheme="majorHAnsi"/>
        </w:rPr>
        <w:t>.</w:t>
      </w:r>
    </w:p>
    <w:p w14:paraId="5FC8BB42" w14:textId="73E25996" w:rsidR="00E1028B" w:rsidRPr="0014556C" w:rsidRDefault="00E1028B" w:rsidP="005266A8">
      <w:pPr>
        <w:pStyle w:val="ListParagraph"/>
        <w:numPr>
          <w:ilvl w:val="0"/>
          <w:numId w:val="37"/>
        </w:numPr>
        <w:jc w:val="both"/>
        <w:rPr>
          <w:rFonts w:asciiTheme="majorHAnsi" w:hAnsiTheme="majorHAnsi" w:cstheme="majorHAnsi"/>
        </w:rPr>
      </w:pPr>
      <w:r w:rsidRPr="0014556C">
        <w:rPr>
          <w:rFonts w:asciiTheme="majorHAnsi" w:hAnsiTheme="majorHAnsi" w:cstheme="majorHAnsi"/>
        </w:rPr>
        <w:t>Devise a framework to facilitate access to genome editing technology in vivo</w:t>
      </w:r>
      <w:r w:rsidR="00D20910" w:rsidRPr="0014556C">
        <w:rPr>
          <w:rFonts w:asciiTheme="majorHAnsi" w:hAnsiTheme="majorHAnsi" w:cstheme="majorHAnsi"/>
        </w:rPr>
        <w:t xml:space="preserve"> (D5.2)</w:t>
      </w:r>
      <w:r w:rsidRPr="0014556C">
        <w:rPr>
          <w:rFonts w:asciiTheme="majorHAnsi" w:hAnsiTheme="majorHAnsi" w:cstheme="majorHAnsi"/>
        </w:rPr>
        <w:t xml:space="preserve"> in the form </w:t>
      </w:r>
      <w:proofErr w:type="gramStart"/>
      <w:r w:rsidRPr="0014556C">
        <w:rPr>
          <w:rFonts w:asciiTheme="majorHAnsi" w:hAnsiTheme="majorHAnsi" w:cstheme="majorHAnsi"/>
        </w:rPr>
        <w:t>of:</w:t>
      </w:r>
      <w:proofErr w:type="gramEnd"/>
      <w:r w:rsidRPr="0014556C">
        <w:rPr>
          <w:rFonts w:asciiTheme="majorHAnsi" w:hAnsiTheme="majorHAnsi" w:cstheme="majorHAnsi"/>
        </w:rPr>
        <w:t xml:space="preserve"> </w:t>
      </w:r>
      <w:proofErr w:type="spellStart"/>
      <w:r w:rsidRPr="0014556C">
        <w:rPr>
          <w:rFonts w:asciiTheme="majorHAnsi" w:hAnsiTheme="majorHAnsi" w:cstheme="majorHAnsi"/>
        </w:rPr>
        <w:t>i</w:t>
      </w:r>
      <w:proofErr w:type="spellEnd"/>
      <w:r w:rsidRPr="0014556C">
        <w:rPr>
          <w:rFonts w:asciiTheme="majorHAnsi" w:hAnsiTheme="majorHAnsi" w:cstheme="majorHAnsi"/>
        </w:rPr>
        <w:t>) animal facilities</w:t>
      </w:r>
      <w:r w:rsidR="006275F9" w:rsidRPr="0014556C">
        <w:rPr>
          <w:rFonts w:asciiTheme="majorHAnsi" w:hAnsiTheme="majorHAnsi" w:cstheme="majorHAnsi"/>
        </w:rPr>
        <w:t xml:space="preserve"> </w:t>
      </w:r>
      <w:r w:rsidRPr="0014556C">
        <w:rPr>
          <w:rFonts w:asciiTheme="majorHAnsi" w:hAnsiTheme="majorHAnsi" w:cstheme="majorHAnsi"/>
        </w:rPr>
        <w:t xml:space="preserve">equipped to handle/raise and conserve </w:t>
      </w:r>
      <w:r w:rsidR="00536797" w:rsidRPr="0014556C">
        <w:rPr>
          <w:rFonts w:asciiTheme="majorHAnsi" w:hAnsiTheme="majorHAnsi" w:cstheme="majorHAnsi"/>
        </w:rPr>
        <w:t>genome-edited</w:t>
      </w:r>
      <w:r w:rsidRPr="0014556C">
        <w:rPr>
          <w:rFonts w:asciiTheme="majorHAnsi" w:hAnsiTheme="majorHAnsi" w:cstheme="majorHAnsi"/>
        </w:rPr>
        <w:t xml:space="preserve"> animal lines across generations and ii) in silico modelling studies</w:t>
      </w:r>
      <w:r w:rsidR="006275F9" w:rsidRPr="0014556C">
        <w:rPr>
          <w:rFonts w:asciiTheme="majorHAnsi" w:hAnsiTheme="majorHAnsi" w:cstheme="majorHAnsi"/>
        </w:rPr>
        <w:t xml:space="preserve"> </w:t>
      </w:r>
      <w:r w:rsidRPr="0014556C">
        <w:rPr>
          <w:rFonts w:asciiTheme="majorHAnsi" w:hAnsiTheme="majorHAnsi" w:cstheme="majorHAnsi"/>
        </w:rPr>
        <w:t>to predict the effect of introducing an edit into a breeding population.</w:t>
      </w:r>
    </w:p>
    <w:p w14:paraId="53356F54" w14:textId="6CC1AF39" w:rsidR="00536797" w:rsidRPr="0014556C" w:rsidRDefault="00E1028B" w:rsidP="005266A8">
      <w:pPr>
        <w:pStyle w:val="ListParagraph"/>
        <w:numPr>
          <w:ilvl w:val="0"/>
          <w:numId w:val="37"/>
        </w:numPr>
        <w:jc w:val="both"/>
        <w:rPr>
          <w:rFonts w:asciiTheme="majorHAnsi" w:hAnsiTheme="majorHAnsi" w:cstheme="majorHAnsi"/>
          <w:lang w:val="en-US"/>
        </w:rPr>
      </w:pPr>
      <w:r w:rsidRPr="0014556C">
        <w:rPr>
          <w:rFonts w:asciiTheme="majorHAnsi" w:hAnsiTheme="majorHAnsi" w:cstheme="majorHAnsi"/>
        </w:rPr>
        <w:t>Creation of a European think-</w:t>
      </w:r>
      <w:r w:rsidR="00536797" w:rsidRPr="0014556C">
        <w:rPr>
          <w:rFonts w:asciiTheme="majorHAnsi" w:hAnsiTheme="majorHAnsi" w:cstheme="majorHAnsi"/>
        </w:rPr>
        <w:t>tank on genome editing in farm animals, connecting national ethics committees, projects and research infrastructures</w:t>
      </w:r>
      <w:r w:rsidR="00D20910" w:rsidRPr="0014556C">
        <w:rPr>
          <w:rFonts w:asciiTheme="majorHAnsi" w:hAnsiTheme="majorHAnsi" w:cstheme="majorHAnsi"/>
        </w:rPr>
        <w:t xml:space="preserve"> (D5.5)</w:t>
      </w:r>
      <w:r w:rsidR="00536797" w:rsidRPr="0014556C">
        <w:rPr>
          <w:rFonts w:asciiTheme="majorHAnsi" w:hAnsiTheme="majorHAnsi" w:cstheme="majorHAnsi"/>
        </w:rPr>
        <w:t>.</w:t>
      </w:r>
    </w:p>
    <w:p w14:paraId="5E3DA1E8" w14:textId="77777777" w:rsidR="00BB2F22" w:rsidRPr="0014556C" w:rsidRDefault="00BB2F22" w:rsidP="002B167F">
      <w:pPr>
        <w:jc w:val="both"/>
        <w:rPr>
          <w:rFonts w:asciiTheme="majorHAnsi" w:hAnsiTheme="majorHAnsi" w:cstheme="majorHAnsi"/>
          <w:lang w:val="en-US"/>
        </w:rPr>
      </w:pPr>
    </w:p>
    <w:p w14:paraId="5CA0F0FD" w14:textId="274B7531" w:rsidR="002B167F" w:rsidRPr="0014556C" w:rsidRDefault="002B167F" w:rsidP="002B167F">
      <w:pPr>
        <w:spacing w:before="120"/>
        <w:jc w:val="both"/>
        <w:rPr>
          <w:rFonts w:asciiTheme="majorHAnsi" w:hAnsiTheme="majorHAnsi" w:cstheme="majorHAnsi"/>
        </w:rPr>
      </w:pPr>
      <w:r w:rsidRPr="0014556C">
        <w:rPr>
          <w:rFonts w:asciiTheme="majorHAnsi" w:hAnsiTheme="majorHAnsi" w:cstheme="majorHAnsi"/>
        </w:rPr>
        <w:t xml:space="preserve">Task 5.1 aims to provide a framework for how stakeholders could </w:t>
      </w:r>
      <w:r w:rsidR="008D2848" w:rsidRPr="0014556C">
        <w:rPr>
          <w:rFonts w:asciiTheme="majorHAnsi" w:hAnsiTheme="majorHAnsi" w:cstheme="majorHAnsi"/>
        </w:rPr>
        <w:t xml:space="preserve">use CRISPR screens to </w:t>
      </w:r>
      <w:r w:rsidRPr="0014556C">
        <w:rPr>
          <w:rFonts w:asciiTheme="majorHAnsi" w:hAnsiTheme="majorHAnsi" w:cstheme="majorHAnsi"/>
        </w:rPr>
        <w:t xml:space="preserve">test causal variants, for health, welfare and production traits, at scale using high-throughput </w:t>
      </w:r>
      <w:r w:rsidR="008D2848" w:rsidRPr="0014556C">
        <w:rPr>
          <w:rFonts w:asciiTheme="majorHAnsi" w:hAnsiTheme="majorHAnsi" w:cstheme="majorHAnsi"/>
        </w:rPr>
        <w:t xml:space="preserve">cellular </w:t>
      </w:r>
      <w:r w:rsidRPr="0014556C">
        <w:rPr>
          <w:rFonts w:asciiTheme="majorHAnsi" w:hAnsiTheme="majorHAnsi" w:cstheme="majorHAnsi"/>
        </w:rPr>
        <w:t>phenotyping (HTP)</w:t>
      </w:r>
      <w:r w:rsidR="00471DE4" w:rsidRPr="0014556C">
        <w:rPr>
          <w:rFonts w:asciiTheme="majorHAnsi" w:hAnsiTheme="majorHAnsi" w:cstheme="majorHAnsi"/>
        </w:rPr>
        <w:t xml:space="preserve"> </w:t>
      </w:r>
      <w:r w:rsidRPr="0014556C">
        <w:rPr>
          <w:rFonts w:asciiTheme="majorHAnsi" w:hAnsiTheme="majorHAnsi" w:cstheme="majorHAnsi"/>
        </w:rPr>
        <w:t xml:space="preserve">platforms. Currently there are few </w:t>
      </w:r>
      <w:r w:rsidR="00471DE4" w:rsidRPr="0014556C">
        <w:rPr>
          <w:rFonts w:asciiTheme="majorHAnsi" w:hAnsiTheme="majorHAnsi" w:cstheme="majorHAnsi"/>
        </w:rPr>
        <w:t>facilities</w:t>
      </w:r>
      <w:r w:rsidRPr="0014556C">
        <w:rPr>
          <w:rFonts w:asciiTheme="majorHAnsi" w:hAnsiTheme="majorHAnsi" w:cstheme="majorHAnsi"/>
        </w:rPr>
        <w:t xml:space="preserve"> with the capacity for this type of highly automated phenotyping</w:t>
      </w:r>
      <w:r w:rsidR="008D2848" w:rsidRPr="0014556C">
        <w:rPr>
          <w:rFonts w:asciiTheme="majorHAnsi" w:hAnsiTheme="majorHAnsi" w:cstheme="majorHAnsi"/>
        </w:rPr>
        <w:t xml:space="preserve"> of cellular systems</w:t>
      </w:r>
      <w:r w:rsidRPr="0014556C">
        <w:rPr>
          <w:rFonts w:asciiTheme="majorHAnsi" w:hAnsiTheme="majorHAnsi" w:cstheme="majorHAnsi"/>
        </w:rPr>
        <w:t xml:space="preserve"> in Europe. In task 5.1 we </w:t>
      </w:r>
      <w:r w:rsidR="008D2848" w:rsidRPr="0014556C">
        <w:rPr>
          <w:rFonts w:asciiTheme="majorHAnsi" w:hAnsiTheme="majorHAnsi" w:cstheme="majorHAnsi"/>
        </w:rPr>
        <w:t>explore</w:t>
      </w:r>
      <w:r w:rsidRPr="0014556C">
        <w:rPr>
          <w:rFonts w:asciiTheme="majorHAnsi" w:hAnsiTheme="majorHAnsi" w:cstheme="majorHAnsi"/>
        </w:rPr>
        <w:t xml:space="preserve"> how transnational access (WP2) could be improved to build capacity. These platforms provide advances beyond </w:t>
      </w:r>
      <w:r w:rsidR="00471DE4" w:rsidRPr="0014556C">
        <w:rPr>
          <w:rFonts w:asciiTheme="majorHAnsi" w:hAnsiTheme="majorHAnsi" w:cstheme="majorHAnsi"/>
        </w:rPr>
        <w:t xml:space="preserve">the </w:t>
      </w:r>
      <w:r w:rsidRPr="0014556C">
        <w:rPr>
          <w:rFonts w:asciiTheme="majorHAnsi" w:hAnsiTheme="majorHAnsi" w:cstheme="majorHAnsi"/>
        </w:rPr>
        <w:t xml:space="preserve">state of the art, for example, using robotics to test hundreds of thousands of causal variants in cell lines using genome wide CRISPR screens. At present this technology is applied predominantly for human research, including to identify vaccine targets and for gene therapies. In this task we explore the limiting factors, including the lack of suitable </w:t>
      </w:r>
      <w:r w:rsidRPr="0014556C">
        <w:rPr>
          <w:rFonts w:asciiTheme="majorHAnsi" w:hAnsiTheme="majorHAnsi" w:cstheme="majorHAnsi"/>
          <w:i/>
          <w:iCs/>
        </w:rPr>
        <w:t>in vitro</w:t>
      </w:r>
      <w:r w:rsidRPr="0014556C">
        <w:rPr>
          <w:rFonts w:asciiTheme="majorHAnsi" w:hAnsiTheme="majorHAnsi" w:cstheme="majorHAnsi"/>
        </w:rPr>
        <w:t xml:space="preserve"> systems (WP4) and libraries of CRISPR guide RNAs, that are </w:t>
      </w:r>
      <w:r w:rsidR="00085C45" w:rsidRPr="0014556C">
        <w:rPr>
          <w:rFonts w:asciiTheme="majorHAnsi" w:hAnsiTheme="majorHAnsi" w:cstheme="majorHAnsi"/>
        </w:rPr>
        <w:t>causing a barrier</w:t>
      </w:r>
      <w:r w:rsidRPr="0014556C">
        <w:rPr>
          <w:rFonts w:asciiTheme="majorHAnsi" w:hAnsiTheme="majorHAnsi" w:cstheme="majorHAnsi"/>
        </w:rPr>
        <w:t xml:space="preserve"> for the application in farmed animal </w:t>
      </w:r>
      <w:r w:rsidR="008D2848" w:rsidRPr="0014556C">
        <w:rPr>
          <w:rFonts w:asciiTheme="majorHAnsi" w:hAnsiTheme="majorHAnsi" w:cstheme="majorHAnsi"/>
        </w:rPr>
        <w:t>G2P research</w:t>
      </w:r>
      <w:r w:rsidRPr="0014556C">
        <w:rPr>
          <w:rFonts w:asciiTheme="majorHAnsi" w:hAnsiTheme="majorHAnsi" w:cstheme="majorHAnsi"/>
        </w:rPr>
        <w:t xml:space="preserve">. We also describe the opportunities and the potential for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research infrastructure </w:t>
      </w:r>
      <w:r w:rsidR="008D2848" w:rsidRPr="0014556C">
        <w:rPr>
          <w:rFonts w:asciiTheme="majorHAnsi" w:hAnsiTheme="majorHAnsi" w:cstheme="majorHAnsi"/>
        </w:rPr>
        <w:t xml:space="preserve">(RI) project </w:t>
      </w:r>
      <w:r w:rsidRPr="0014556C">
        <w:rPr>
          <w:rFonts w:asciiTheme="majorHAnsi" w:hAnsiTheme="majorHAnsi" w:cstheme="majorHAnsi"/>
        </w:rPr>
        <w:t xml:space="preserve">to provide services that facilitate access to the technology and the other resources, such as suitable </w:t>
      </w:r>
      <w:r w:rsidRPr="0014556C">
        <w:rPr>
          <w:rFonts w:asciiTheme="majorHAnsi" w:hAnsiTheme="majorHAnsi" w:cstheme="majorHAnsi"/>
          <w:i/>
          <w:iCs/>
        </w:rPr>
        <w:t>in vitro</w:t>
      </w:r>
      <w:r w:rsidRPr="0014556C">
        <w:rPr>
          <w:rFonts w:asciiTheme="majorHAnsi" w:hAnsiTheme="majorHAnsi" w:cstheme="majorHAnsi"/>
        </w:rPr>
        <w:t xml:space="preserve"> systems. </w:t>
      </w:r>
    </w:p>
    <w:p w14:paraId="254A02BD" w14:textId="77777777" w:rsidR="002B167F" w:rsidRPr="0014556C" w:rsidRDefault="002B167F" w:rsidP="002B167F">
      <w:pPr>
        <w:spacing w:before="120"/>
        <w:jc w:val="both"/>
        <w:rPr>
          <w:rFonts w:asciiTheme="majorHAnsi" w:eastAsia="Calibri" w:hAnsiTheme="majorHAnsi" w:cstheme="majorHAnsi"/>
          <w:color w:val="000000"/>
          <w:lang w:val="en-US"/>
        </w:rPr>
      </w:pPr>
      <w:r w:rsidRPr="0014556C">
        <w:rPr>
          <w:rFonts w:asciiTheme="majorHAnsi" w:eastAsia="Calibri" w:hAnsiTheme="majorHAnsi" w:cstheme="majorHAnsi"/>
          <w:color w:val="000000"/>
          <w:lang w:val="en-US"/>
        </w:rPr>
        <w:t>Task 5.1 has three main objectives:</w:t>
      </w:r>
    </w:p>
    <w:p w14:paraId="2357C48F" w14:textId="77777777" w:rsidR="002B167F" w:rsidRPr="0014556C" w:rsidRDefault="002B167F" w:rsidP="002B167F">
      <w:pPr>
        <w:numPr>
          <w:ilvl w:val="0"/>
          <w:numId w:val="49"/>
        </w:numPr>
        <w:pBdr>
          <w:bottom w:val="dotted" w:sz="6" w:space="1" w:color="4472C4"/>
        </w:pBdr>
        <w:spacing w:before="320"/>
        <w:outlineLvl w:val="5"/>
        <w:rPr>
          <w:rFonts w:ascii="Calibri" w:eastAsia="Calibri" w:hAnsi="Calibri" w:cs="Calibri"/>
          <w:color w:val="000000"/>
        </w:rPr>
      </w:pPr>
      <w:r w:rsidRPr="0014556C">
        <w:rPr>
          <w:rFonts w:ascii="Calibri" w:eastAsia="Calibri" w:hAnsi="Calibri" w:cs="Calibri"/>
          <w:color w:val="000000"/>
          <w:lang w:val="en-US"/>
        </w:rPr>
        <w:t xml:space="preserve">Provide a framework for how stakeholders could test a </w:t>
      </w:r>
      <w:proofErr w:type="gramStart"/>
      <w:r w:rsidRPr="0014556C">
        <w:rPr>
          <w:rFonts w:ascii="Calibri" w:eastAsia="Calibri" w:hAnsi="Calibri" w:cs="Calibri"/>
          <w:color w:val="000000"/>
          <w:lang w:val="en-US"/>
        </w:rPr>
        <w:t>causal variants</w:t>
      </w:r>
      <w:proofErr w:type="gramEnd"/>
      <w:r w:rsidRPr="0014556C">
        <w:rPr>
          <w:rFonts w:ascii="Calibri" w:eastAsia="Calibri" w:hAnsi="Calibri" w:cs="Calibri"/>
          <w:color w:val="000000"/>
          <w:lang w:val="en-US"/>
        </w:rPr>
        <w:t xml:space="preserve"> at scale using HTP platforms with in vitro models (with WP4). </w:t>
      </w:r>
    </w:p>
    <w:p w14:paraId="791C68C1" w14:textId="77777777" w:rsidR="002B167F" w:rsidRPr="0014556C" w:rsidRDefault="002B167F" w:rsidP="002B167F">
      <w:pPr>
        <w:numPr>
          <w:ilvl w:val="0"/>
          <w:numId w:val="49"/>
        </w:numPr>
        <w:pBdr>
          <w:bottom w:val="dotted" w:sz="6" w:space="1" w:color="4472C4"/>
        </w:pBdr>
        <w:spacing w:before="320"/>
        <w:outlineLvl w:val="5"/>
        <w:rPr>
          <w:rFonts w:ascii="Calibri" w:eastAsia="Calibri" w:hAnsi="Calibri" w:cs="Calibri"/>
          <w:color w:val="000000"/>
        </w:rPr>
      </w:pPr>
      <w:r w:rsidRPr="0014556C">
        <w:rPr>
          <w:rFonts w:ascii="Calibri" w:eastAsia="Calibri" w:hAnsi="Calibri" w:cs="Calibri"/>
          <w:color w:val="000000"/>
          <w:lang w:val="en-US"/>
        </w:rPr>
        <w:lastRenderedPageBreak/>
        <w:t xml:space="preserve">Coordination of HTP platform capabilities with the biobanking (cell lines and organoids) framework established in WP4. </w:t>
      </w:r>
    </w:p>
    <w:p w14:paraId="133615D6" w14:textId="6806FF6B" w:rsidR="002B167F" w:rsidRPr="0014556C" w:rsidRDefault="002B167F" w:rsidP="002B167F">
      <w:pPr>
        <w:numPr>
          <w:ilvl w:val="0"/>
          <w:numId w:val="49"/>
        </w:numPr>
        <w:pBdr>
          <w:bottom w:val="dotted" w:sz="6" w:space="1" w:color="4472C4"/>
        </w:pBdr>
        <w:spacing w:before="320"/>
        <w:outlineLvl w:val="5"/>
        <w:rPr>
          <w:rFonts w:ascii="Calibri" w:eastAsia="Calibri" w:hAnsi="Calibri" w:cs="Calibri"/>
          <w:color w:val="000000"/>
        </w:rPr>
      </w:pPr>
      <w:r w:rsidRPr="0014556C">
        <w:rPr>
          <w:rFonts w:ascii="Calibri" w:eastAsia="Calibri" w:hAnsi="Calibri" w:cs="Calibri"/>
          <w:color w:val="000000"/>
          <w:lang w:val="en-US"/>
        </w:rPr>
        <w:t>Provide transnational access to use high throughput phenotyping platforms to test functional edits at scale (with WP2)</w:t>
      </w:r>
    </w:p>
    <w:p w14:paraId="74ABC3C2" w14:textId="77777777" w:rsidR="002B167F" w:rsidRPr="0014556C" w:rsidRDefault="002B167F" w:rsidP="00FE61A9">
      <w:pPr>
        <w:jc w:val="both"/>
        <w:rPr>
          <w:rFonts w:ascii="Calibri" w:eastAsia="Calibri" w:hAnsi="Calibri" w:cs="Calibri"/>
          <w:color w:val="000000"/>
          <w:sz w:val="22"/>
        </w:rPr>
      </w:pPr>
    </w:p>
    <w:p w14:paraId="6C9C9E5D" w14:textId="589EA982" w:rsidR="003A4D11" w:rsidRPr="0014556C" w:rsidRDefault="00536797" w:rsidP="00FE61A9">
      <w:pPr>
        <w:jc w:val="both"/>
        <w:rPr>
          <w:rFonts w:asciiTheme="majorHAnsi" w:hAnsiTheme="majorHAnsi" w:cstheme="majorHAnsi"/>
        </w:rPr>
      </w:pPr>
      <w:r w:rsidRPr="0014556C">
        <w:rPr>
          <w:rFonts w:asciiTheme="majorHAnsi" w:hAnsiTheme="majorHAnsi" w:cstheme="majorHAnsi"/>
        </w:rPr>
        <w:t>Deliverable D5.</w:t>
      </w:r>
      <w:r w:rsidR="00FA0AE8" w:rsidRPr="0014556C">
        <w:rPr>
          <w:rFonts w:asciiTheme="majorHAnsi" w:hAnsiTheme="majorHAnsi" w:cstheme="majorHAnsi"/>
        </w:rPr>
        <w:t>1</w:t>
      </w:r>
      <w:r w:rsidRPr="0014556C">
        <w:rPr>
          <w:rFonts w:asciiTheme="majorHAnsi" w:hAnsiTheme="majorHAnsi" w:cstheme="majorHAnsi"/>
        </w:rPr>
        <w:t xml:space="preserve"> </w:t>
      </w:r>
      <w:r w:rsidR="004E3066" w:rsidRPr="0014556C">
        <w:rPr>
          <w:rFonts w:asciiTheme="majorHAnsi" w:hAnsiTheme="majorHAnsi" w:cstheme="majorHAnsi"/>
        </w:rPr>
        <w:t xml:space="preserve">is </w:t>
      </w:r>
      <w:r w:rsidR="00FA0AE8" w:rsidRPr="0014556C">
        <w:rPr>
          <w:rFonts w:asciiTheme="majorHAnsi" w:hAnsiTheme="majorHAnsi" w:cstheme="majorHAnsi"/>
        </w:rPr>
        <w:t>the main component of Task 5.1 in</w:t>
      </w:r>
      <w:r w:rsidR="004E3066" w:rsidRPr="0014556C">
        <w:rPr>
          <w:rFonts w:asciiTheme="majorHAnsi" w:hAnsiTheme="majorHAnsi" w:cstheme="majorHAnsi"/>
        </w:rPr>
        <w:t xml:space="preserve"> WP5</w:t>
      </w:r>
      <w:r w:rsidR="000A5241" w:rsidRPr="0014556C">
        <w:rPr>
          <w:rFonts w:asciiTheme="majorHAnsi" w:hAnsiTheme="majorHAnsi" w:cstheme="majorHAnsi"/>
        </w:rPr>
        <w:t xml:space="preserve">. </w:t>
      </w:r>
      <w:r w:rsidR="003A4D11" w:rsidRPr="0014556C">
        <w:rPr>
          <w:rFonts w:asciiTheme="majorHAnsi" w:hAnsiTheme="majorHAnsi" w:cstheme="majorHAnsi"/>
        </w:rPr>
        <w:t xml:space="preserve">The aim of </w:t>
      </w:r>
      <w:r w:rsidR="00A11541" w:rsidRPr="0014556C">
        <w:rPr>
          <w:rFonts w:asciiTheme="majorHAnsi" w:hAnsiTheme="majorHAnsi" w:cstheme="majorHAnsi"/>
        </w:rPr>
        <w:t>D</w:t>
      </w:r>
      <w:r w:rsidR="003A4D11" w:rsidRPr="0014556C">
        <w:rPr>
          <w:rFonts w:asciiTheme="majorHAnsi" w:hAnsiTheme="majorHAnsi" w:cstheme="majorHAnsi"/>
        </w:rPr>
        <w:t>5.</w:t>
      </w:r>
      <w:r w:rsidR="00FA0AE8" w:rsidRPr="0014556C">
        <w:rPr>
          <w:rFonts w:asciiTheme="majorHAnsi" w:hAnsiTheme="majorHAnsi" w:cstheme="majorHAnsi"/>
        </w:rPr>
        <w:t>1</w:t>
      </w:r>
      <w:r w:rsidR="003A4D11" w:rsidRPr="0014556C">
        <w:rPr>
          <w:rFonts w:asciiTheme="majorHAnsi" w:hAnsiTheme="majorHAnsi" w:cstheme="majorHAnsi"/>
        </w:rPr>
        <w:t xml:space="preserve"> is to</w:t>
      </w:r>
      <w:r w:rsidR="00D154CE" w:rsidRPr="0014556C">
        <w:rPr>
          <w:rFonts w:asciiTheme="majorHAnsi" w:hAnsiTheme="majorHAnsi" w:cstheme="majorHAnsi"/>
        </w:rPr>
        <w:t xml:space="preserve"> </w:t>
      </w:r>
      <w:r w:rsidR="00A11541" w:rsidRPr="0014556C">
        <w:rPr>
          <w:rFonts w:asciiTheme="majorHAnsi" w:hAnsiTheme="majorHAnsi" w:cstheme="majorHAnsi"/>
        </w:rPr>
        <w:t>build a picture of the</w:t>
      </w:r>
      <w:r w:rsidR="00D154CE" w:rsidRPr="0014556C">
        <w:rPr>
          <w:rFonts w:asciiTheme="majorHAnsi" w:hAnsiTheme="majorHAnsi" w:cstheme="majorHAnsi"/>
        </w:rPr>
        <w:t xml:space="preserve"> capacity for high throughput </w:t>
      </w:r>
      <w:r w:rsidR="008D2848" w:rsidRPr="0014556C">
        <w:rPr>
          <w:rFonts w:asciiTheme="majorHAnsi" w:hAnsiTheme="majorHAnsi" w:cstheme="majorHAnsi"/>
        </w:rPr>
        <w:t xml:space="preserve">cellular </w:t>
      </w:r>
      <w:r w:rsidR="00D154CE" w:rsidRPr="0014556C">
        <w:rPr>
          <w:rFonts w:asciiTheme="majorHAnsi" w:hAnsiTheme="majorHAnsi" w:cstheme="majorHAnsi"/>
        </w:rPr>
        <w:t>phenotyping and CRISPR screens</w:t>
      </w:r>
      <w:r w:rsidR="00A11541" w:rsidRPr="0014556C">
        <w:rPr>
          <w:rFonts w:asciiTheme="majorHAnsi" w:hAnsiTheme="majorHAnsi" w:cstheme="majorHAnsi"/>
        </w:rPr>
        <w:t xml:space="preserve"> in farmed animals in Europe</w:t>
      </w:r>
      <w:r w:rsidR="00D154CE" w:rsidRPr="0014556C">
        <w:rPr>
          <w:rFonts w:asciiTheme="majorHAnsi" w:hAnsiTheme="majorHAnsi" w:cstheme="majorHAnsi"/>
        </w:rPr>
        <w:t>, including assessment of the challenges and the opportunities</w:t>
      </w:r>
      <w:r w:rsidR="005266A8" w:rsidRPr="0014556C">
        <w:rPr>
          <w:rFonts w:asciiTheme="majorHAnsi" w:hAnsiTheme="majorHAnsi" w:cstheme="majorHAnsi"/>
        </w:rPr>
        <w:t xml:space="preserve">. </w:t>
      </w:r>
      <w:r w:rsidR="003A4D11" w:rsidRPr="0014556C">
        <w:rPr>
          <w:rFonts w:asciiTheme="majorHAnsi" w:hAnsiTheme="majorHAnsi" w:cstheme="majorHAnsi"/>
        </w:rPr>
        <w:t>It will also</w:t>
      </w:r>
      <w:r w:rsidR="00A11541" w:rsidRPr="0014556C">
        <w:rPr>
          <w:rFonts w:asciiTheme="majorHAnsi" w:hAnsiTheme="majorHAnsi" w:cstheme="majorHAnsi"/>
        </w:rPr>
        <w:t xml:space="preserve"> determine</w:t>
      </w:r>
      <w:r w:rsidR="003A4D11" w:rsidRPr="0014556C">
        <w:rPr>
          <w:rFonts w:asciiTheme="majorHAnsi" w:hAnsiTheme="majorHAnsi" w:cstheme="majorHAnsi"/>
        </w:rPr>
        <w:t xml:space="preserve"> how the </w:t>
      </w:r>
      <w:proofErr w:type="spellStart"/>
      <w:r w:rsidR="003A4D11" w:rsidRPr="0014556C">
        <w:rPr>
          <w:rFonts w:asciiTheme="majorHAnsi" w:hAnsiTheme="majorHAnsi" w:cstheme="majorHAnsi"/>
        </w:rPr>
        <w:t>EuroFAANG</w:t>
      </w:r>
      <w:proofErr w:type="spellEnd"/>
      <w:r w:rsidR="003A4D11" w:rsidRPr="0014556C">
        <w:rPr>
          <w:rFonts w:asciiTheme="majorHAnsi" w:hAnsiTheme="majorHAnsi" w:cstheme="majorHAnsi"/>
        </w:rPr>
        <w:t xml:space="preserve"> research infrastructure could provide transnational access (TNA)</w:t>
      </w:r>
      <w:r w:rsidR="00D154CE" w:rsidRPr="0014556C">
        <w:rPr>
          <w:rFonts w:asciiTheme="majorHAnsi" w:hAnsiTheme="majorHAnsi" w:cstheme="majorHAnsi"/>
        </w:rPr>
        <w:t xml:space="preserve"> to high throughput phenotyping, functional assays and CRISPR screens</w:t>
      </w:r>
      <w:r w:rsidR="003A4D11" w:rsidRPr="0014556C">
        <w:rPr>
          <w:rFonts w:asciiTheme="majorHAnsi" w:hAnsiTheme="majorHAnsi" w:cstheme="majorHAnsi"/>
        </w:rPr>
        <w:t xml:space="preserve"> across the European research and development space for genotype to phenotype research in farmed animals.</w:t>
      </w:r>
    </w:p>
    <w:p w14:paraId="299C6B3D" w14:textId="77777777" w:rsidR="00BB2F22" w:rsidRPr="0014556C" w:rsidRDefault="00BB2F22" w:rsidP="00FE61A9">
      <w:pPr>
        <w:jc w:val="both"/>
        <w:rPr>
          <w:rFonts w:asciiTheme="majorHAnsi" w:hAnsiTheme="majorHAnsi" w:cstheme="majorHAnsi"/>
        </w:rPr>
      </w:pPr>
    </w:p>
    <w:p w14:paraId="3E1E6761" w14:textId="17AA45CB" w:rsidR="00CE5C8B" w:rsidRPr="0014556C" w:rsidRDefault="00CE5C8B" w:rsidP="00CE5C8B">
      <w:pPr>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 xml:space="preserve">The results presented in this deliverable are the consolidated outputs </w:t>
      </w:r>
      <w:r w:rsidR="00D154CE" w:rsidRPr="0014556C">
        <w:rPr>
          <w:rFonts w:asciiTheme="majorHAnsi" w:eastAsia="Century Gothic" w:hAnsiTheme="majorHAnsi" w:cstheme="majorHAnsi"/>
          <w:color w:val="000000" w:themeColor="text1"/>
        </w:rPr>
        <w:t xml:space="preserve">of assessment of capacity for </w:t>
      </w:r>
      <w:r w:rsidR="00D154CE" w:rsidRPr="0014556C">
        <w:rPr>
          <w:rFonts w:asciiTheme="majorHAnsi" w:hAnsiTheme="majorHAnsi" w:cstheme="majorHAnsi"/>
        </w:rPr>
        <w:t xml:space="preserve">high throughput </w:t>
      </w:r>
      <w:r w:rsidR="00DB2F60" w:rsidRPr="0014556C">
        <w:rPr>
          <w:rFonts w:asciiTheme="majorHAnsi" w:hAnsiTheme="majorHAnsi" w:cstheme="majorHAnsi"/>
        </w:rPr>
        <w:t xml:space="preserve">cellular </w:t>
      </w:r>
      <w:r w:rsidR="00D154CE" w:rsidRPr="0014556C">
        <w:rPr>
          <w:rFonts w:asciiTheme="majorHAnsi" w:hAnsiTheme="majorHAnsi" w:cstheme="majorHAnsi"/>
        </w:rPr>
        <w:t>phenotyping, functional assays and CRISPR screens across Europe,</w:t>
      </w:r>
      <w:r w:rsidR="00D154CE" w:rsidRPr="0014556C">
        <w:rPr>
          <w:rFonts w:asciiTheme="majorHAnsi" w:eastAsia="Century Gothic" w:hAnsiTheme="majorHAnsi" w:cstheme="majorHAnsi"/>
          <w:color w:val="000000" w:themeColor="text1"/>
        </w:rPr>
        <w:t xml:space="preserve"> discussion within the </w:t>
      </w:r>
      <w:proofErr w:type="spellStart"/>
      <w:r w:rsidR="00D154CE" w:rsidRPr="0014556C">
        <w:rPr>
          <w:rFonts w:asciiTheme="majorHAnsi" w:eastAsia="Century Gothic" w:hAnsiTheme="majorHAnsi" w:cstheme="majorHAnsi"/>
          <w:color w:val="000000" w:themeColor="text1"/>
        </w:rPr>
        <w:t>EuroFAANG</w:t>
      </w:r>
      <w:proofErr w:type="spellEnd"/>
      <w:r w:rsidR="00D154CE" w:rsidRPr="0014556C">
        <w:rPr>
          <w:rFonts w:asciiTheme="majorHAnsi" w:eastAsia="Century Gothic" w:hAnsiTheme="majorHAnsi" w:cstheme="majorHAnsi"/>
          <w:color w:val="000000" w:themeColor="text1"/>
        </w:rPr>
        <w:t xml:space="preserve"> European Think-Tank on genome editing and a webinar in May 2024</w:t>
      </w:r>
      <w:r w:rsidRPr="0014556C">
        <w:rPr>
          <w:rFonts w:asciiTheme="majorHAnsi" w:eastAsia="Century Gothic" w:hAnsiTheme="majorHAnsi" w:cstheme="majorHAnsi"/>
          <w:color w:val="000000" w:themeColor="text1"/>
        </w:rPr>
        <w:t>. This deliverable is linked to D5.2</w:t>
      </w:r>
      <w:r w:rsidR="000E4964" w:rsidRPr="0014556C">
        <w:rPr>
          <w:rFonts w:asciiTheme="majorHAnsi" w:eastAsia="Century Gothic" w:hAnsiTheme="majorHAnsi" w:cstheme="majorHAnsi"/>
          <w:color w:val="000000" w:themeColor="text1"/>
        </w:rPr>
        <w:t>, D5.3</w:t>
      </w:r>
      <w:r w:rsidRPr="0014556C">
        <w:rPr>
          <w:rFonts w:asciiTheme="majorHAnsi" w:eastAsia="Century Gothic" w:hAnsiTheme="majorHAnsi" w:cstheme="majorHAnsi"/>
          <w:color w:val="000000" w:themeColor="text1"/>
        </w:rPr>
        <w:t xml:space="preserve"> and D5.5 and will be updated </w:t>
      </w:r>
      <w:r w:rsidR="000E4964" w:rsidRPr="0014556C">
        <w:rPr>
          <w:rFonts w:asciiTheme="majorHAnsi" w:eastAsia="Century Gothic" w:hAnsiTheme="majorHAnsi" w:cstheme="majorHAnsi"/>
          <w:color w:val="000000" w:themeColor="text1"/>
        </w:rPr>
        <w:t xml:space="preserve">annually </w:t>
      </w:r>
      <w:r w:rsidRPr="0014556C">
        <w:rPr>
          <w:rFonts w:asciiTheme="majorHAnsi" w:eastAsia="Century Gothic" w:hAnsiTheme="majorHAnsi" w:cstheme="majorHAnsi"/>
          <w:color w:val="000000" w:themeColor="text1"/>
        </w:rPr>
        <w:t xml:space="preserve">as further discussions take place over the duration of the </w:t>
      </w:r>
      <w:proofErr w:type="spellStart"/>
      <w:r w:rsidRPr="0014556C">
        <w:rPr>
          <w:rFonts w:asciiTheme="majorHAnsi" w:eastAsia="Century Gothic" w:hAnsiTheme="majorHAnsi" w:cstheme="majorHAnsi"/>
          <w:color w:val="000000" w:themeColor="text1"/>
        </w:rPr>
        <w:t>EuroFAANG</w:t>
      </w:r>
      <w:proofErr w:type="spellEnd"/>
      <w:r w:rsidRPr="0014556C">
        <w:rPr>
          <w:rFonts w:asciiTheme="majorHAnsi" w:eastAsia="Century Gothic" w:hAnsiTheme="majorHAnsi" w:cstheme="majorHAnsi"/>
          <w:color w:val="000000" w:themeColor="text1"/>
        </w:rPr>
        <w:t xml:space="preserve"> Research Infrastructure Project.</w:t>
      </w:r>
    </w:p>
    <w:p w14:paraId="1E67C807" w14:textId="77777777" w:rsidR="00CE5C8B" w:rsidRPr="0014556C" w:rsidRDefault="00CE5C8B" w:rsidP="00FE61A9">
      <w:pPr>
        <w:jc w:val="both"/>
        <w:rPr>
          <w:rFonts w:asciiTheme="majorHAnsi" w:hAnsiTheme="majorHAnsi" w:cstheme="majorHAnsi"/>
        </w:rPr>
      </w:pPr>
    </w:p>
    <w:p w14:paraId="672088AC" w14:textId="24550756" w:rsidR="00966E4E" w:rsidRPr="0014556C" w:rsidRDefault="00966E4E" w:rsidP="00536797">
      <w:pPr>
        <w:rPr>
          <w:rFonts w:asciiTheme="majorHAnsi" w:hAnsiTheme="majorHAnsi" w:cstheme="majorHAnsi"/>
          <w:i/>
          <w:iCs/>
          <w:sz w:val="20"/>
          <w:lang w:val="en-US"/>
        </w:rPr>
      </w:pPr>
      <w:r w:rsidRPr="0014556C">
        <w:rPr>
          <w:rFonts w:asciiTheme="majorHAnsi" w:hAnsiTheme="majorHAnsi" w:cstheme="majorHAnsi"/>
        </w:rPr>
        <w:br w:type="page"/>
      </w:r>
    </w:p>
    <w:p w14:paraId="277AEAE2" w14:textId="7CBBFAC8" w:rsidR="00AC2BF4" w:rsidRPr="0014556C" w:rsidRDefault="0022795C" w:rsidP="00536797">
      <w:pPr>
        <w:pStyle w:val="Heading1"/>
        <w:rPr>
          <w:rFonts w:asciiTheme="majorHAnsi" w:hAnsiTheme="majorHAnsi" w:cstheme="majorHAnsi"/>
        </w:rPr>
      </w:pPr>
      <w:bookmarkStart w:id="3" w:name="_Toc170418863"/>
      <w:r w:rsidRPr="0014556C">
        <w:rPr>
          <w:rFonts w:asciiTheme="majorHAnsi" w:hAnsiTheme="majorHAnsi" w:cstheme="majorHAnsi"/>
        </w:rPr>
        <w:lastRenderedPageBreak/>
        <w:t>Results</w:t>
      </w:r>
      <w:bookmarkEnd w:id="3"/>
    </w:p>
    <w:p w14:paraId="54F4E9DC" w14:textId="44EC91E4" w:rsidR="00D077CB" w:rsidRPr="0014556C" w:rsidRDefault="00194EB9" w:rsidP="008D2848">
      <w:pPr>
        <w:pStyle w:val="Heading2"/>
        <w:jc w:val="both"/>
        <w:rPr>
          <w:rFonts w:asciiTheme="majorHAnsi" w:hAnsiTheme="majorHAnsi" w:cstheme="majorHAnsi"/>
        </w:rPr>
      </w:pPr>
      <w:bookmarkStart w:id="4" w:name="_Toc170418864"/>
      <w:r w:rsidRPr="0014556C">
        <w:rPr>
          <w:rFonts w:asciiTheme="majorHAnsi" w:hAnsiTheme="majorHAnsi" w:cstheme="majorHAnsi"/>
        </w:rPr>
        <w:t>Introduction to the concept of</w:t>
      </w:r>
      <w:r w:rsidR="00D077CB" w:rsidRPr="0014556C">
        <w:rPr>
          <w:rFonts w:asciiTheme="majorHAnsi" w:hAnsiTheme="majorHAnsi" w:cstheme="majorHAnsi"/>
        </w:rPr>
        <w:t xml:space="preserve"> </w:t>
      </w:r>
      <w:r w:rsidR="00DB2F60" w:rsidRPr="0014556C">
        <w:rPr>
          <w:rFonts w:asciiTheme="majorHAnsi" w:hAnsiTheme="majorHAnsi" w:cstheme="majorHAnsi"/>
        </w:rPr>
        <w:t>h</w:t>
      </w:r>
      <w:r w:rsidR="00D077CB" w:rsidRPr="0014556C">
        <w:rPr>
          <w:rFonts w:asciiTheme="majorHAnsi" w:hAnsiTheme="majorHAnsi" w:cstheme="majorHAnsi"/>
        </w:rPr>
        <w:t xml:space="preserve">igh-throughput </w:t>
      </w:r>
      <w:r w:rsidRPr="0014556C">
        <w:rPr>
          <w:rFonts w:asciiTheme="majorHAnsi" w:hAnsiTheme="majorHAnsi" w:cstheme="majorHAnsi"/>
        </w:rPr>
        <w:t xml:space="preserve">cellular </w:t>
      </w:r>
      <w:r w:rsidR="00D077CB" w:rsidRPr="0014556C">
        <w:rPr>
          <w:rFonts w:asciiTheme="majorHAnsi" w:hAnsiTheme="majorHAnsi" w:cstheme="majorHAnsi"/>
        </w:rPr>
        <w:t>phenotyping platforms</w:t>
      </w:r>
      <w:r w:rsidR="0073767A" w:rsidRPr="0014556C">
        <w:rPr>
          <w:rFonts w:asciiTheme="majorHAnsi" w:hAnsiTheme="majorHAnsi" w:cstheme="majorHAnsi"/>
        </w:rPr>
        <w:t>,</w:t>
      </w:r>
      <w:r w:rsidR="00D077CB" w:rsidRPr="0014556C">
        <w:rPr>
          <w:rFonts w:asciiTheme="majorHAnsi" w:hAnsiTheme="majorHAnsi" w:cstheme="majorHAnsi"/>
        </w:rPr>
        <w:t xml:space="preserve"> </w:t>
      </w:r>
      <w:r w:rsidR="0073767A" w:rsidRPr="0014556C">
        <w:rPr>
          <w:rFonts w:asciiTheme="majorHAnsi" w:hAnsiTheme="majorHAnsi" w:cstheme="majorHAnsi"/>
        </w:rPr>
        <w:t>CRISPR screens, and other highly scalable functional assays</w:t>
      </w:r>
      <w:bookmarkEnd w:id="4"/>
    </w:p>
    <w:p w14:paraId="3A1B9917" w14:textId="77777777" w:rsidR="00231FD0" w:rsidRPr="0014556C" w:rsidRDefault="00231FD0" w:rsidP="00231FD0">
      <w:pPr>
        <w:jc w:val="both"/>
        <w:rPr>
          <w:rFonts w:asciiTheme="majorHAnsi" w:eastAsia="Century Gothic" w:hAnsiTheme="majorHAnsi" w:cstheme="majorHAnsi"/>
          <w:color w:val="000000" w:themeColor="text1"/>
        </w:rPr>
      </w:pPr>
    </w:p>
    <w:p w14:paraId="7864587A" w14:textId="79BF0A75" w:rsidR="009E47AE" w:rsidRPr="0014556C" w:rsidRDefault="009E47AE" w:rsidP="009E47AE">
      <w:pPr>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t xml:space="preserve">CRISPR screens are very powerful tools that </w:t>
      </w:r>
      <w:r w:rsidR="00D16201" w:rsidRPr="0014556C">
        <w:rPr>
          <w:rFonts w:asciiTheme="majorHAnsi" w:eastAsia="Century Gothic" w:hAnsiTheme="majorHAnsi" w:cstheme="majorHAnsi"/>
          <w:color w:val="000000" w:themeColor="text1"/>
        </w:rPr>
        <w:t>enable</w:t>
      </w:r>
      <w:r w:rsidRPr="0014556C">
        <w:rPr>
          <w:rFonts w:asciiTheme="majorHAnsi" w:eastAsia="Century Gothic" w:hAnsiTheme="majorHAnsi" w:cstheme="majorHAnsi"/>
          <w:color w:val="000000" w:themeColor="text1"/>
        </w:rPr>
        <w:t xml:space="preserve"> the </w:t>
      </w:r>
      <w:r w:rsidR="0014556C" w:rsidRPr="0014556C">
        <w:rPr>
          <w:rFonts w:asciiTheme="majorHAnsi" w:eastAsia="Century Gothic" w:hAnsiTheme="majorHAnsi" w:cstheme="majorHAnsi"/>
          <w:color w:val="000000" w:themeColor="text1"/>
        </w:rPr>
        <w:t xml:space="preserve">discovery of gene function </w:t>
      </w:r>
      <w:r w:rsidR="0014556C"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{"citationID":"SbRtNmSr","properties":{"formattedCitation":"(2,3)","plainCitation":"(2,3)","noteIndex":0},"citationItems":[{"id":1501,"uris":["http://zotero.org/users/13766804/items/N5IQZXMT"],"itemData":{"id":1501,"type":"article-journal","abstract":"The discovery of CRISPR-Cas9 systems has fueled a rapid expansion of gene editing adoption and has impacted pharmaceutical and biotechnology research  substantially. Here, gene editing is used at an industrial scale to identify and  validate new biological targets for precision medicines, with functional genomic  screening having an increasingly important role. Functional genomic strategies  provide a crucial link between observed biological phenomena and the genes that  influence and drive those phenomena. Although such studies are not new, the use  of CRISPR-Cas9 systems in this arena is providing more robust datasets for target  identification and validation. CRISPR-based screening approaches are also useful  later in the drug development pipeline for understanding drug resistance and  sensitivity ahead of entering clinical trials. This review examines the  developing landscape for CRISPR screening technologies within the pharmaceutical  industry and explores the next steps for this constantly evolving screening  platform.","container-title":"SLAS discovery : advancing life sciences R &amp; D","DOI":"10.1177/2472555219883621","ISSN":"2472-5560 2472-5552","issue":"3","journalAbbreviation":"SLAS Discov","language":"eng","note":"publisher-place: United States\nPMID: 31658850 \nPMCID: PMC7036479","page":"233-240","title":"CRISPR: A Screener's Guide.","volume":"25","author":[{"family":"Sage","given":"Carlos","non-dropping-particle":"le"},{"family":"Lawo","given":"Steffen"},{"family":"Cross","given":"Benedict C. S."}],"issued":{"date-parts":[["2020",3]]}}},{"id":312,"uris":["http://zotero.org/users/13766804/items/DJM8X3VR"],"itemData":{"id":312,"type":"article-journal","abstract":"CRISPR screens are a powerful source of biological discovery, enabling the unbiased interrogation of gene function in a wide range of applications and species. In pooled CRISPR screens, various genetically encoded perturbations are introduced into pools of cells. The targeted cells proliferate under a biological challenge such as cell competition, drug treatment or viral infection. Subsequently, the perturbation-induced effects are evaluated by sequencing-based counting of the guide RNAs that specify each perturbation. The typical results of such screens are ranked lists of genes that confer sensitivity or resistance to the biological challenge of interest. Contributing to the broad utility of CRISPR screens, adaptations of the core CRISPR technology make it possible to activate, silence or otherwise manipulate the target genes. Moreover, high-content read-outs such as single-cell RNA sequencing and spatial imaging help characterize screened cells with unprecedented detail. Dedicated software tools facilitate bioinformatic analysis and enhance reproducibility. CRISPR screening has unravelled various molecular mechanisms in basic biology, medical genetics, cancer research, immunology, infectious diseases, microbiology and other fields. This Primer describes the basic and advanced concepts of CRISPR screening and its application as a flexible and reliable method for biological discovery, biomedical research and drug development — with a special emphasis on high-content methods that make it possible to obtain detailed biological insights directly as part of the screen.","container-title":"Nature Reviews Methods Primers","DOI":"10.1038/s43586-021-00093-4","ISSN":"2662-8449","issue":"1","page":"8","title":"High-content CRISPR screening","volume":"2","author":[{"family":"Bock","given":"Christoph"},{"family":"Datlinger","given":"Paul"},{"family":"Chardon","given":"Florence"},{"family":"Coelho","given":"Matthew A"},{"family":"Dong","given":"Matthew B"},{"family":"Lawson","given":"Keith A"},{"family":"Lu","given":"Tian"},{"family":"Maroc","given":"Laetitia"},{"family":"Norman","given":"Thomas M"},{"family":"Song","given":"Bicna"},{"family":"Stanley","given":"Geoff"},{"family":"Chen","given":"Sidi"},{"family":"Garnett","given":"Mathew"},{"family":"Li","given":"Wei"},{"family":"Moffat","given":"Jason"},{"family":"Qi","given":"Lei S"},{"family":"Shapiro","given":"Rebecca S"},{"family":"Shendure","given":"Jay"},{"family":"Weissman","given":"Jonathan S"},{"family":"Zhuang","given":"Xiaowei"}],"issued":{"date-parts":[["2022"]]}}}],"schema":"https://github.com/citation-style-language/schema/raw/master/csl-citation.json"} </w:instrText>
      </w:r>
      <w:r w:rsidR="0014556C"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(2,3)</w:t>
      </w:r>
      <w:r w:rsidR="0014556C" w:rsidRPr="0014556C">
        <w:rPr>
          <w:rFonts w:asciiTheme="majorHAnsi" w:eastAsia="Century Gothic" w:hAnsiTheme="majorHAnsi" w:cstheme="majorHAnsi"/>
          <w:color w:val="000000" w:themeColor="text1"/>
        </w:rPr>
        <w:fldChar w:fldCharType="end"/>
      </w:r>
      <w:r w:rsidRPr="0014556C">
        <w:rPr>
          <w:rFonts w:asciiTheme="majorHAnsi" w:eastAsia="Century Gothic" w:hAnsiTheme="majorHAnsi" w:cstheme="majorHAnsi"/>
          <w:color w:val="000000" w:themeColor="text1"/>
        </w:rPr>
        <w:t xml:space="preserve">. </w:t>
      </w:r>
      <w:r w:rsidR="00CE1A16" w:rsidRPr="0014556C">
        <w:rPr>
          <w:rFonts w:asciiTheme="majorHAnsi" w:eastAsia="Century Gothic" w:hAnsiTheme="majorHAnsi" w:cstheme="majorHAnsi"/>
          <w:color w:val="000000" w:themeColor="text1"/>
        </w:rPr>
        <w:t>During the</w:t>
      </w:r>
      <w:r w:rsidRPr="0014556C">
        <w:rPr>
          <w:rFonts w:asciiTheme="majorHAnsi" w:eastAsia="Century Gothic" w:hAnsiTheme="majorHAnsi" w:cstheme="majorHAnsi"/>
          <w:color w:val="000000" w:themeColor="text1"/>
        </w:rPr>
        <w:t xml:space="preserve"> CRISPR screen</w:t>
      </w:r>
      <w:r w:rsidR="00CE1A16" w:rsidRPr="0014556C">
        <w:rPr>
          <w:rFonts w:asciiTheme="majorHAnsi" w:eastAsia="Century Gothic" w:hAnsiTheme="majorHAnsi" w:cstheme="majorHAnsi"/>
          <w:color w:val="000000" w:themeColor="text1"/>
        </w:rPr>
        <w:t>ing process</w:t>
      </w:r>
      <w:r w:rsidRPr="0014556C">
        <w:rPr>
          <w:rFonts w:asciiTheme="majorHAnsi" w:eastAsia="Century Gothic" w:hAnsiTheme="majorHAnsi" w:cstheme="majorHAnsi"/>
          <w:color w:val="000000" w:themeColor="text1"/>
        </w:rPr>
        <w:t xml:space="preserve">, libraries of guide RNAs are designed to </w:t>
      </w:r>
      <w:r w:rsidR="00F83128" w:rsidRPr="0014556C">
        <w:rPr>
          <w:rFonts w:asciiTheme="majorHAnsi" w:eastAsia="Century Gothic" w:hAnsiTheme="majorHAnsi" w:cstheme="majorHAnsi"/>
          <w:color w:val="000000" w:themeColor="text1"/>
        </w:rPr>
        <w:t>perturb genome function in</w:t>
      </w:r>
      <w:r w:rsidRPr="0014556C">
        <w:rPr>
          <w:rFonts w:asciiTheme="majorHAnsi" w:eastAsia="Century Gothic" w:hAnsiTheme="majorHAnsi" w:cstheme="majorHAnsi"/>
          <w:color w:val="000000" w:themeColor="text1"/>
        </w:rPr>
        <w:t xml:space="preserve"> pools of cells</w:t>
      </w:r>
      <w:r w:rsidR="00D16201" w:rsidRPr="0014556C">
        <w:rPr>
          <w:rFonts w:asciiTheme="majorHAnsi" w:eastAsia="Century Gothic" w:hAnsiTheme="majorHAnsi" w:cstheme="majorHAnsi"/>
          <w:color w:val="000000" w:themeColor="text1"/>
        </w:rPr>
        <w:t xml:space="preserve"> </w:t>
      </w:r>
      <w:r w:rsidR="00D16201"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{"citationID":"zsjCWpHt","properties":{"formattedCitation":"(3)","plainCitation":"(3)","noteIndex":0},"citationItems":[{"id":312,"uris":["http://zotero.org/users/13766804/items/DJM8X3VR"],"itemData":{"id":312,"type":"article-journal","abstract":"CRISPR screens are a powerful source of biological discovery, enabling the unbiased interrogation of gene function in a wide range of applications and species. In pooled CRISPR screens, various genetically encoded perturbations are introduced into pools of cells. The targeted cells proliferate under a biological challenge such as cell competition, drug treatment or viral infection. Subsequently, the perturbation-induced effects are evaluated by sequencing-based counting of the guide RNAs that specify each perturbation. The typical results of such screens are ranked lists of genes that confer sensitivity or resistance to the biological challenge of interest. Contributing to the broad utility of CRISPR screens, adaptations of the core CRISPR technology make it possible to activate, silence or otherwise manipulate the target genes. Moreover, high-content read-outs such as single-cell RNA sequencing and spatial imaging help characterize screened cells with unprecedented detail. Dedicated software tools facilitate bioinformatic analysis and enhance reproducibility. CRISPR screening has unravelled various molecular mechanisms in basic biology, medical genetics, cancer research, immunology, infectious diseases, microbiology and other fields. This Primer describes the basic and advanced concepts of CRISPR screening and its application as a flexible and reliable method for biological discovery, biomedical research and drug development — with a special emphasis on high-content methods that make it possible to obtain detailed biological insights directly as part of the screen.","container-title":"Nature Reviews Methods Primers","DOI":"10.1038/s43586-021-00093-4","ISSN":"2662-8449","issue":"1","page":"8","title":"High-content CRISPR screening","volume":"2","author":[{"family":"Bock","given":"Christoph"},{"family":"Datlinger","given":"Paul"},{"family":"Chardon","given":"Florence"},{"family":"Coelho","given":"Matthew A"},{"family":"Dong","given":"Matthew B"},{"family":"Lawson","given":"Keith A"},{"family":"Lu","given":"Tian"},{"family":"Maroc","given":"Laetitia"},{"family":"Norman","given":"Thomas M"},{"family":"Song","given":"Bicna"},{"family":"Stanley","given":"Geoff"},{"family":"Chen","given":"Sidi"},{"family":"Garnett","given":"Mathew"},{"family":"Li","given":"Wei"},{"family":"Moffat","given":"Jason"},{"family":"Qi","given":"Lei S"},{"family":"Shapiro","given":"Rebecca S"},{"family":"Shendure","given":"Jay"},{"family":"Weissman","given":"Jonathan S"},{"family":"Zhuang","given":"Xiaowei"}],"issued":{"date-parts":[["2022"]]}}}],"schema":"https://github.com/citation-style-language/schema/raw/master/csl-citation.json"} </w:instrText>
      </w:r>
      <w:r w:rsidR="00D16201"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(3)</w:t>
      </w:r>
      <w:r w:rsidR="00D16201" w:rsidRPr="0014556C">
        <w:rPr>
          <w:rFonts w:asciiTheme="majorHAnsi" w:eastAsia="Century Gothic" w:hAnsiTheme="majorHAnsi" w:cstheme="majorHAnsi"/>
          <w:color w:val="000000" w:themeColor="text1"/>
        </w:rPr>
        <w:fldChar w:fldCharType="end"/>
      </w:r>
      <w:r w:rsidR="00D16201" w:rsidRPr="0014556C">
        <w:rPr>
          <w:rFonts w:asciiTheme="majorHAnsi" w:eastAsia="Century Gothic" w:hAnsiTheme="majorHAnsi" w:cstheme="majorHAnsi"/>
          <w:color w:val="000000" w:themeColor="text1"/>
        </w:rPr>
        <w:t xml:space="preserve">. </w:t>
      </w:r>
      <w:r w:rsidR="00D16201" w:rsidRPr="0014556C">
        <w:rPr>
          <w:rFonts w:asciiTheme="majorHAnsi" w:eastAsia="Century Gothic" w:hAnsiTheme="majorHAnsi" w:cstheme="majorHAnsi"/>
          <w:color w:val="000000" w:themeColor="text1"/>
        </w:rPr>
        <w:t xml:space="preserve">CRISPR screens </w:t>
      </w:r>
      <w:r w:rsidR="00D16201" w:rsidRPr="0014556C">
        <w:rPr>
          <w:rFonts w:asciiTheme="majorHAnsi" w:eastAsia="Century Gothic" w:hAnsiTheme="majorHAnsi" w:cstheme="majorHAnsi"/>
          <w:color w:val="000000" w:themeColor="text1"/>
        </w:rPr>
        <w:t>can be designed to knock-out one gene per cell and explore the functional consequences</w:t>
      </w:r>
      <w:r w:rsidR="00F83128" w:rsidRPr="0014556C">
        <w:rPr>
          <w:rFonts w:asciiTheme="majorHAnsi" w:eastAsia="Century Gothic" w:hAnsiTheme="majorHAnsi" w:cstheme="majorHAnsi"/>
          <w:color w:val="000000" w:themeColor="text1"/>
        </w:rPr>
        <w:t xml:space="preserve"> </w:t>
      </w:r>
      <w:r w:rsidR="00F83128"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{"citationID":"Qzo7POJh","properties":{"formattedCitation":"(2)","plainCitation":"(2)","noteIndex":0},"citationItems":[{"id":1501,"uris":["http://zotero.org/users/13766804/items/N5IQZXMT"],"itemData":{"id":1501,"type":"article-journal","abstract":"The discovery of CRISPR-Cas9 systems has fueled a rapid expansion of gene editing adoption and has impacted pharmaceutical and biotechnology research  substantially. Here, gene editing is used at an industrial scale to identify and  validate new biological targets for precision medicines, with functional genomic  screening having an increasingly important role. Functional genomic strategies  provide a crucial link between observed biological phenomena and the genes that  influence and drive those phenomena. Although such studies are not new, the use  of CRISPR-Cas9 systems in this arena is providing more robust datasets for target  identification and validation. CRISPR-based screening approaches are also useful  later in the drug development pipeline for understanding drug resistance and  sensitivity ahead of entering clinical trials. This review examines the  developing landscape for CRISPR screening technologies within the pharmaceutical  industry and explores the next steps for this constantly evolving screening  platform.","container-title":"SLAS discovery : advancing life sciences R &amp; D","DOI":"10.1177/2472555219883621","ISSN":"2472-5560 2472-5552","issue":"3","journalAbbreviation":"SLAS Discov","language":"eng","note":"publisher-place: United States\nPMID: 31658850 \nPMCID: PMC7036479","page":"233-240","title":"CRISPR: A Screener's Guide.","volume":"25","author":[{"family":"Sage","given":"Carlos","non-dropping-particle":"le"},{"family":"Lawo","given":"Steffen"},{"family":"Cross","given":"Benedict C. S."}],"issued":{"date-parts":[["2020",3]]}}}],"schema":"https://github.com/citation-style-language/schema/raw/master/csl-citation.json"} </w:instrText>
      </w:r>
      <w:r w:rsidR="00F83128"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(2)</w:t>
      </w:r>
      <w:r w:rsidR="00F83128" w:rsidRPr="0014556C">
        <w:rPr>
          <w:rFonts w:asciiTheme="majorHAnsi" w:eastAsia="Century Gothic" w:hAnsiTheme="majorHAnsi" w:cstheme="majorHAnsi"/>
          <w:color w:val="000000" w:themeColor="text1"/>
        </w:rPr>
        <w:fldChar w:fldCharType="end"/>
      </w:r>
      <w:r w:rsidRPr="0014556C">
        <w:rPr>
          <w:rFonts w:asciiTheme="majorHAnsi" w:eastAsia="Century Gothic" w:hAnsiTheme="majorHAnsi" w:cstheme="majorHAnsi"/>
          <w:color w:val="000000" w:themeColor="text1"/>
        </w:rPr>
        <w:t xml:space="preserve">. This can be performed via traditional small scale cell cultures or via highly scalable high-throughput cellular screening platforms. The cells proliferate under a biological challenge such as viral infection and then the effects </w:t>
      </w:r>
      <w:r w:rsidR="00D16201" w:rsidRPr="0014556C">
        <w:rPr>
          <w:rFonts w:asciiTheme="majorHAnsi" w:eastAsia="Century Gothic" w:hAnsiTheme="majorHAnsi" w:cstheme="majorHAnsi"/>
          <w:color w:val="000000" w:themeColor="text1"/>
        </w:rPr>
        <w:t xml:space="preserve">of </w:t>
      </w:r>
      <w:r w:rsidR="00F83128" w:rsidRPr="0014556C">
        <w:rPr>
          <w:rFonts w:asciiTheme="majorHAnsi" w:eastAsia="Century Gothic" w:hAnsiTheme="majorHAnsi" w:cstheme="majorHAnsi"/>
          <w:color w:val="000000" w:themeColor="text1"/>
        </w:rPr>
        <w:t>perturbing genome function in each cell</w:t>
      </w:r>
      <w:r w:rsidR="00D16201" w:rsidRPr="0014556C">
        <w:rPr>
          <w:rFonts w:asciiTheme="majorHAnsi" w:eastAsia="Century Gothic" w:hAnsiTheme="majorHAnsi" w:cstheme="majorHAnsi"/>
          <w:color w:val="000000" w:themeColor="text1"/>
        </w:rPr>
        <w:t xml:space="preserve"> are </w:t>
      </w:r>
      <w:r w:rsidRPr="0014556C">
        <w:rPr>
          <w:rFonts w:asciiTheme="majorHAnsi" w:eastAsia="Century Gothic" w:hAnsiTheme="majorHAnsi" w:cstheme="majorHAnsi"/>
          <w:color w:val="000000" w:themeColor="text1"/>
        </w:rPr>
        <w:t xml:space="preserve">evaluated by sequencing-based </w:t>
      </w:r>
      <w:r w:rsidR="00C16536" w:rsidRPr="0014556C">
        <w:rPr>
          <w:rFonts w:asciiTheme="majorHAnsi" w:eastAsia="Century Gothic" w:hAnsiTheme="majorHAnsi" w:cstheme="majorHAnsi"/>
          <w:color w:val="000000" w:themeColor="text1"/>
        </w:rPr>
        <w:t>counting</w:t>
      </w:r>
      <w:r w:rsidR="00CE1A16" w:rsidRPr="0014556C">
        <w:rPr>
          <w:rFonts w:asciiTheme="majorHAnsi" w:eastAsia="Century Gothic" w:hAnsiTheme="majorHAnsi" w:cstheme="majorHAnsi"/>
          <w:color w:val="000000" w:themeColor="text1"/>
        </w:rPr>
        <w:t xml:space="preserve"> or other phenotypic read outs</w:t>
      </w:r>
      <w:r w:rsidRPr="0014556C">
        <w:rPr>
          <w:rFonts w:asciiTheme="majorHAnsi" w:eastAsia="Century Gothic" w:hAnsiTheme="majorHAnsi" w:cstheme="majorHAnsi"/>
          <w:color w:val="000000" w:themeColor="text1"/>
        </w:rPr>
        <w:t xml:space="preserve"> </w:t>
      </w:r>
      <w:r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{"citationID":"awjQ64ye","properties":{"formattedCitation":"(3)","plainCitation":"(3)","noteIndex":0},"citationItems":[{"id":312,"uris":["http://zotero.org/users/13766804/items/DJM8X3VR"],"itemData":{"id":312,"type":"article-journal","abstract":"CRISPR screens are a powerful source of biological discovery, enabling the unbiased interrogation of gene function in a wide range of applications and species. In pooled CRISPR screens, various genetically encoded perturbations are introduced into pools of cells. The targeted cells proliferate under a biological challenge such as cell competition, drug treatment or viral infection. Subsequently, the perturbation-induced effects are evaluated by sequencing-based counting of the guide RNAs that specify each perturbation. The typical results of such screens are ranked lists of genes that confer sensitivity or resistance to the biological challenge of interest. Contributing to the broad utility of CRISPR screens, adaptations of the core CRISPR technology make it possible to activate, silence or otherwise manipulate the target genes. Moreover, high-content read-outs such as single-cell RNA sequencing and spatial imaging help characterize screened cells with unprecedented detail. Dedicated software tools facilitate bioinformatic analysis and enhance reproducibility. CRISPR screening has unravelled various molecular mechanisms in basic biology, medical genetics, cancer research, immunology, infectious diseases, microbiology and other fields. This Primer describes the basic and advanced concepts of CRISPR screening and its application as a flexible and reliable method for biological discovery, biomedical research and drug development — with a special emphasis on high-content methods that make it possible to obtain detailed biological insights directly as part of the screen.","container-title":"Nature Reviews Methods Primers","DOI":"10.1038/s43586-021-00093-4","ISSN":"2662-8449","issue":"1","page":"8","title":"High-content CRISPR screening","volume":"2","author":[{"family":"Bock","given":"Christoph"},{"family":"Datlinger","given":"Paul"},{"family":"Chardon","given":"Florence"},{"family":"Coelho","given":"Matthew A"},{"family":"Dong","given":"Matthew B"},{"family":"Lawson","given":"Keith A"},{"family":"Lu","given":"Tian"},{"family":"Maroc","given":"Laetitia"},{"family":"Norman","given":"Thomas M"},{"family":"Song","given":"Bicna"},{"family":"Stanley","given":"Geoff"},{"family":"Chen","given":"Sidi"},{"family":"Garnett","given":"Mathew"},{"family":"Li","given":"Wei"},{"family":"Moffat","given":"Jason"},{"family":"Qi","given":"Lei S"},{"family":"Shapiro","given":"Rebecca S"},{"family":"Shendure","given":"Jay"},{"family":"Weissman","given":"Jonathan S"},{"family":"Zhuang","given":"Xiaowei"}],"issued":{"date-parts":[["2022"]]}}}],"schema":"https://github.com/citation-style-language/schema/raw/master/csl-citation.json"} </w:instrText>
      </w:r>
      <w:r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(3)</w:t>
      </w:r>
      <w:r w:rsidRPr="0014556C">
        <w:rPr>
          <w:rFonts w:asciiTheme="majorHAnsi" w:eastAsia="Century Gothic" w:hAnsiTheme="majorHAnsi" w:cstheme="majorHAnsi"/>
          <w:color w:val="000000" w:themeColor="text1"/>
        </w:rPr>
        <w:fldChar w:fldCharType="end"/>
      </w:r>
      <w:r w:rsidRPr="0014556C">
        <w:rPr>
          <w:rFonts w:asciiTheme="majorHAnsi" w:eastAsia="Century Gothic" w:hAnsiTheme="majorHAnsi" w:cstheme="majorHAnsi"/>
          <w:color w:val="000000" w:themeColor="text1"/>
        </w:rPr>
        <w:t xml:space="preserve">. The results of CRISPR screens are </w:t>
      </w:r>
      <w:r w:rsidR="00CE1A16" w:rsidRPr="0014556C">
        <w:rPr>
          <w:rFonts w:asciiTheme="majorHAnsi" w:eastAsia="Century Gothic" w:hAnsiTheme="majorHAnsi" w:cstheme="majorHAnsi"/>
          <w:color w:val="000000" w:themeColor="text1"/>
        </w:rPr>
        <w:t xml:space="preserve">usually </w:t>
      </w:r>
      <w:r w:rsidRPr="0014556C">
        <w:rPr>
          <w:rFonts w:asciiTheme="majorHAnsi" w:eastAsia="Century Gothic" w:hAnsiTheme="majorHAnsi" w:cstheme="majorHAnsi"/>
          <w:color w:val="000000" w:themeColor="text1"/>
        </w:rPr>
        <w:t xml:space="preserve">ranked lists of genes that confer resistance to a viral pathogen, e.g. </w:t>
      </w:r>
      <w:r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{"citationID":"w7zTM6Sj","properties":{"formattedCitation":"(4,5)","plainCitation":"(4,5)","noteIndex":0},"citationItems":[{"id":1485,"uris":["http://zotero.org/users/13766804/items/MIV95XPN"],"itemData":{"id":1485,"type":"article-journal","abstract":"Author summary Coronaviruses (CoVs) pose a severe threat to human and animal health. Identification of host genes essential for transmissible gastroenteritis virus (TGEV) infection may reveal novel therapeutic targets and strengthen our understanding of CoV disease pathogenesis. We performed genome-wide and sub-pooled CRISPR screens in porcine kidney cells with TGEV. We identified numerous candidate host factors for TGEV infection. Considering its extremely strong effect on TGEV infection, we focused our efforts on characterizing the roles that TMEM41B play in the virus replication cycle. Our results revealed that TMEM41B contributed to CoV internalization and the formation of replication organelles. TMEM41B is critical for the replication of TGEV and other RNA viruses. Our mouse infection model provides strong evidence that knocking out the TMEM41B gene can inhibit viral infection and delay the progression of a CoV disease. Our study identified potential therapeutic targets for common RNA viruses and reveals host factors that regulate susceptibility to highly pathogenic CoVs.","container-title":"PLOS Pathogens","DOI":"10.1371/journal.ppat.1010113","issue":"12","journalAbbreviation":"PLOS Pathogens","note":"publisher: Public Library of Science","page":"e1010113","title":"Genome-scale CRISPR screen identifies TMEM41B as a multi-function host factor required for coronavirus replication","volume":"17","author":[{"family":"Sun","given":"Limeng"},{"family":"Zhao","given":"Changzhi"},{"family":"Fu","given":"Zhen"},{"family":"Fu","given":"Yanan"},{"family":"Su","given":"Zhelin"},{"family":"Li","given":"Yangyang"},{"family":"Zhou","given":"Yuan"},{"family":"Tan","given":"Yubei"},{"family":"Li","given":"Jingjin"},{"family":"Xiang","given":"Yixin"},{"family":"Nie","given":"Xiongwei"},{"family":"Zhang","given":"Jinfu"},{"family":"Liu","given":"Fei"},{"family":"Zhao","given":"Shuhong"},{"family":"Xie","given":"Shengsong"},{"family":"Peng","given":"Guiqing"}],"issued":{"date-parts":[["2021",12,6]]}}},{"id":1489,"uris":["http://zotero.org/users/13766804/items/E6XNE22R"],"itemData":{"id":1489,"type":"article-journal","abstract":"Zoonotic transmission of coronaviruses poses an ongoing threat to human populations. Endemic outbreaks of swine acute diarrhea syndrome coronavirus (SADS-CoV) have caused severe economic losses in the pig industry and have the potential to cause human outbreaks. Currently, there are no vaccines or specific antivirals against SADS-CoV, and our limited understanding of SADS-CoV host entry factors could hinder prompt responses to a potential human outbreak. Using a genomewide CRISPR knockout screen, we identified placenta-associated 8 protein (PLAC8) as an essential host factor for SADS-CoV infection. Knockout of PLAC8 abolished SADS-CoV infection, which was restored by complementing PLAC8 from multiple species, including human, rhesus macaques, mouse, pig, pangolin, and bat, suggesting a conserved infection pathway and susceptibility of SADS-CoV among mammals. Mechanistically, PLAC8 knockout does not affect viral entry; rather, knockout cells displayed a delay and reduction in viral subgenomic RNA expression. In a swine primary intestinal epithelial culture (IEC) infection model, differentiated cultures have high levels of PLAC8 expression and support SADS-CoV replication. In contrast, expanding IECs have low levels of PLAC8 expression and are resistant to SADS-CoV infection. PLAC8 expression patterns translate in vivo; the immunohistochemistry of swine ileal tissue revealed high levels of PLAC8 protein in neonatal compared to adult tissue, mirroring the known SADS-CoV pathogenesis in neonatal piglets. Overall, PLAC8 is an essential factor for SADS-CoV infection and may serve as a promising target for antiviral development for potential pandemic SADS-CoV.","container-title":"Proceedings of the National Academy of Sciences","DOI":"10.1073/pnas.2118126119","issue":"18","journalAbbreviation":"Proceedings of the National Academy of Sciences","note":"publisher: Proceedings of the National Academy of Sciences","page":"e2118126119","title":"Genomewide CRISPR knockout screen identified PLAC8 as an essential factor for SADS-CoVs infection","volume":"119","author":[{"family":"Tse","given":"Longping V."},{"family":"Meganck","given":"Rita M."},{"family":"Araba","given":"Kenza C."},{"family":"Yount","given":"Boyd L."},{"family":"Shaffer","given":"Kendall M."},{"family":"Hou","given":"Yixuan J."},{"family":"Munt","given":"Jennifer E."},{"family":"Adams","given":"Lily E."},{"family":"Wykoff","given":"Jason A."},{"family":"Morowitz","given":"Jeremy M."},{"family":"Dong","given":"Stephanie"},{"family":"Magness","given":"Scott T."},{"family":"Marzluff","given":"William F."},{"family":"Gonzalez","given":"Liara M."},{"family":"Ehre","given":"Camille"},{"family":"Baric","given":"Ralph S."}],"issued":{"date-parts":[["2022",5,3]]}}}],"schema":"https://github.com/citation-style-language/schema/raw/master/csl-citation.json"} </w:instrText>
      </w:r>
      <w:r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(4,5)</w:t>
      </w:r>
      <w:r w:rsidRPr="0014556C">
        <w:rPr>
          <w:rFonts w:asciiTheme="majorHAnsi" w:eastAsia="Century Gothic" w:hAnsiTheme="majorHAnsi" w:cstheme="majorHAnsi"/>
          <w:color w:val="000000" w:themeColor="text1"/>
        </w:rPr>
        <w:fldChar w:fldCharType="end"/>
      </w:r>
      <w:r w:rsidRPr="0014556C">
        <w:rPr>
          <w:rFonts w:asciiTheme="majorHAnsi" w:eastAsia="Century Gothic" w:hAnsiTheme="majorHAnsi" w:cstheme="majorHAnsi"/>
          <w:color w:val="000000" w:themeColor="text1"/>
        </w:rPr>
        <w:t>, or another</w:t>
      </w:r>
      <w:r w:rsidR="00CE1A16" w:rsidRPr="0014556C">
        <w:rPr>
          <w:rFonts w:asciiTheme="majorHAnsi" w:eastAsia="Century Gothic" w:hAnsiTheme="majorHAnsi" w:cstheme="majorHAnsi"/>
          <w:color w:val="000000" w:themeColor="text1"/>
        </w:rPr>
        <w:t xml:space="preserve"> type of</w:t>
      </w:r>
      <w:r w:rsidRPr="0014556C">
        <w:rPr>
          <w:rFonts w:asciiTheme="majorHAnsi" w:eastAsia="Century Gothic" w:hAnsiTheme="majorHAnsi" w:cstheme="majorHAnsi"/>
          <w:color w:val="000000" w:themeColor="text1"/>
        </w:rPr>
        <w:t xml:space="preserve"> biological challenge. </w:t>
      </w:r>
      <w:r w:rsidR="00D16201" w:rsidRPr="0014556C">
        <w:rPr>
          <w:rFonts w:asciiTheme="majorHAnsi" w:eastAsia="Century Gothic" w:hAnsiTheme="majorHAnsi" w:cstheme="majorHAnsi"/>
          <w:color w:val="000000" w:themeColor="text1"/>
        </w:rPr>
        <w:t>A</w:t>
      </w:r>
      <w:r w:rsidRPr="0014556C">
        <w:rPr>
          <w:rFonts w:asciiTheme="majorHAnsi" w:eastAsia="Century Gothic" w:hAnsiTheme="majorHAnsi" w:cstheme="majorHAnsi"/>
          <w:color w:val="000000" w:themeColor="text1"/>
        </w:rPr>
        <w:t>ctivation</w:t>
      </w:r>
      <w:r w:rsidR="00D16201" w:rsidRPr="0014556C">
        <w:rPr>
          <w:rFonts w:asciiTheme="majorHAnsi" w:eastAsia="Century Gothic" w:hAnsiTheme="majorHAnsi" w:cstheme="majorHAnsi"/>
          <w:color w:val="000000" w:themeColor="text1"/>
        </w:rPr>
        <w:t>, as opposed to knock-out, screens can also be performed</w:t>
      </w:r>
      <w:r w:rsidRPr="0014556C">
        <w:rPr>
          <w:rFonts w:asciiTheme="majorHAnsi" w:eastAsia="Century Gothic" w:hAnsiTheme="majorHAnsi" w:cstheme="majorHAnsi"/>
          <w:color w:val="000000" w:themeColor="text1"/>
        </w:rPr>
        <w:t xml:space="preserve"> </w:t>
      </w:r>
      <w:r w:rsidR="00D16201" w:rsidRPr="0014556C">
        <w:rPr>
          <w:rFonts w:asciiTheme="majorHAnsi" w:eastAsia="Century Gothic" w:hAnsiTheme="majorHAnsi" w:cstheme="majorHAnsi"/>
          <w:color w:val="000000" w:themeColor="text1"/>
        </w:rPr>
        <w:t xml:space="preserve">that allow </w:t>
      </w:r>
      <w:r w:rsidR="00CE1A16" w:rsidRPr="0014556C">
        <w:rPr>
          <w:rFonts w:asciiTheme="majorHAnsi" w:eastAsia="Century Gothic" w:hAnsiTheme="majorHAnsi" w:cstheme="majorHAnsi"/>
          <w:color w:val="000000" w:themeColor="text1"/>
        </w:rPr>
        <w:t xml:space="preserve">screening </w:t>
      </w:r>
      <w:r w:rsidR="00D16201" w:rsidRPr="0014556C">
        <w:rPr>
          <w:rFonts w:asciiTheme="majorHAnsi" w:eastAsia="Century Gothic" w:hAnsiTheme="majorHAnsi" w:cstheme="majorHAnsi"/>
          <w:color w:val="000000" w:themeColor="text1"/>
        </w:rPr>
        <w:t>for pooled targeted up-regulation of gene expression</w:t>
      </w:r>
      <w:r w:rsidR="00CE1A16" w:rsidRPr="0014556C">
        <w:rPr>
          <w:rFonts w:asciiTheme="majorHAnsi" w:eastAsia="Century Gothic" w:hAnsiTheme="majorHAnsi" w:cstheme="majorHAnsi"/>
          <w:color w:val="000000" w:themeColor="text1"/>
        </w:rPr>
        <w:t xml:space="preserve"> </w:t>
      </w:r>
      <w:r w:rsidRPr="0014556C">
        <w:rPr>
          <w:rFonts w:asciiTheme="majorHAnsi" w:eastAsia="Century Gothic" w:hAnsiTheme="majorHAnsi" w:cstheme="majorHAnsi"/>
          <w:color w:val="000000" w:themeColor="text1"/>
        </w:rPr>
        <w:t xml:space="preserve">(reviewed in </w:t>
      </w:r>
      <w:r w:rsidR="00D16201" w:rsidRPr="0014556C">
        <w:rPr>
          <w:rFonts w:asciiTheme="majorHAnsi" w:eastAsia="Century Gothic" w:hAnsiTheme="majorHAnsi" w:cstheme="majorHAnsi"/>
          <w:color w:val="000000" w:themeColor="text1"/>
        </w:rPr>
        <w:fldChar w:fldCharType="begin"/>
      </w:r>
      <w:r w:rsidR="0014556C" w:rsidRPr="0014556C">
        <w:rPr>
          <w:rFonts w:asciiTheme="majorHAnsi" w:eastAsia="Century Gothic" w:hAnsiTheme="majorHAnsi" w:cstheme="majorHAnsi"/>
          <w:color w:val="000000" w:themeColor="text1"/>
        </w:rPr>
        <w:instrText xml:space="preserve"> ADDIN ZOTERO_ITEM CSL_CITATION {"citationID":"OdRyx72L","properties":{"formattedCitation":"(6)","plainCitation":"(6)","noteIndex":0},"citationItems":[{"id":1493,"uris":["http://zotero.org/users/13766804/items/W372X9FI"],"itemData":{"id":1493,"type":"article-journal","container-title":"Trends in Biotechnology","DOI":"10.1016/j.tibtech.2024.02.007","ISSN":"0167-7799","note":"publisher: Elsevier","title":"CRISPR activation screens: navigating technologies and applications","URL":"https://doi.org/10.1016/j.tibtech.2024.02.007","author":[{"family":"Clark","given":"Teleri"},{"family":"Waller","given":"Matthew A."},{"family":"Loo","given":"Lipin"},{"family":"Moreno","given":"Cesar L."},{"family":"Denes","given":"Christopher E."},{"family":"Neely","given":"G. Gregory"}],"accessed":{"date-parts":[["2024",6,27]]}}}],"schema":"https://github.com/citation-style-language/schema/raw/master/csl-citation.json"} </w:instrText>
      </w:r>
      <w:r w:rsidR="00D16201" w:rsidRPr="0014556C">
        <w:rPr>
          <w:rFonts w:asciiTheme="majorHAnsi" w:eastAsia="Century Gothic" w:hAnsiTheme="majorHAnsi" w:cstheme="majorHAnsi"/>
          <w:color w:val="000000" w:themeColor="text1"/>
        </w:rPr>
        <w:fldChar w:fldCharType="separate"/>
      </w:r>
      <w:r w:rsidR="0014556C" w:rsidRPr="0014556C">
        <w:rPr>
          <w:rFonts w:asciiTheme="majorHAnsi" w:eastAsia="Century Gothic" w:hAnsiTheme="majorHAnsi" w:cstheme="majorHAnsi"/>
          <w:noProof/>
          <w:color w:val="000000" w:themeColor="text1"/>
        </w:rPr>
        <w:t>(6)</w:t>
      </w:r>
      <w:r w:rsidR="00D16201" w:rsidRPr="0014556C">
        <w:rPr>
          <w:rFonts w:asciiTheme="majorHAnsi" w:eastAsia="Century Gothic" w:hAnsiTheme="majorHAnsi" w:cstheme="majorHAnsi"/>
          <w:color w:val="000000" w:themeColor="text1"/>
        </w:rPr>
        <w:fldChar w:fldCharType="end"/>
      </w:r>
      <w:r w:rsidR="00D16201" w:rsidRPr="0014556C">
        <w:rPr>
          <w:rFonts w:asciiTheme="majorHAnsi" w:eastAsia="Century Gothic" w:hAnsiTheme="majorHAnsi" w:cstheme="majorHAnsi"/>
          <w:color w:val="000000" w:themeColor="text1"/>
        </w:rPr>
        <w:t>)</w:t>
      </w:r>
      <w:r w:rsidR="00CE1A16" w:rsidRPr="0014556C">
        <w:rPr>
          <w:rFonts w:asciiTheme="majorHAnsi" w:eastAsia="Century Gothic" w:hAnsiTheme="majorHAnsi" w:cstheme="majorHAnsi"/>
          <w:color w:val="000000" w:themeColor="text1"/>
        </w:rPr>
        <w:t>.</w:t>
      </w:r>
    </w:p>
    <w:p w14:paraId="2F4AF04E" w14:textId="409C605D" w:rsidR="0073767A" w:rsidRPr="0014556C" w:rsidRDefault="0073767A" w:rsidP="0073767A">
      <w:pPr>
        <w:jc w:val="both"/>
        <w:rPr>
          <w:rFonts w:asciiTheme="majorHAnsi" w:eastAsia="Century Gothic" w:hAnsiTheme="majorHAnsi" w:cstheme="majorHAnsi"/>
          <w:color w:val="000000" w:themeColor="text1"/>
        </w:rPr>
      </w:pPr>
    </w:p>
    <w:p w14:paraId="1B19AD46" w14:textId="2E5BC929" w:rsidR="008D2848" w:rsidRPr="0014556C" w:rsidRDefault="0073767A" w:rsidP="0073767A">
      <w:pPr>
        <w:jc w:val="both"/>
        <w:rPr>
          <w:rFonts w:asciiTheme="majorHAnsi" w:hAnsiTheme="majorHAnsi" w:cstheme="majorHAnsi"/>
          <w:color w:val="000000"/>
        </w:rPr>
      </w:pPr>
      <w:r w:rsidRPr="0014556C">
        <w:rPr>
          <w:rFonts w:asciiTheme="majorHAnsi" w:hAnsiTheme="majorHAnsi" w:cstheme="majorHAnsi"/>
          <w:color w:val="000000"/>
        </w:rPr>
        <w:t>Using automated cellular phenotyping systems, with cell lines or organoids, at scale to screen for</w:t>
      </w:r>
      <w:r w:rsidR="00CE1A16" w:rsidRPr="0014556C">
        <w:rPr>
          <w:rFonts w:asciiTheme="majorHAnsi" w:hAnsiTheme="majorHAnsi" w:cstheme="majorHAnsi"/>
          <w:color w:val="000000"/>
        </w:rPr>
        <w:t xml:space="preserve">, for example, </w:t>
      </w:r>
      <w:r w:rsidR="00231FD0" w:rsidRPr="0014556C">
        <w:rPr>
          <w:rFonts w:asciiTheme="majorHAnsi" w:hAnsiTheme="majorHAnsi" w:cstheme="majorHAnsi"/>
          <w:color w:val="000000"/>
        </w:rPr>
        <w:t xml:space="preserve">genomic </w:t>
      </w:r>
      <w:r w:rsidRPr="0014556C">
        <w:rPr>
          <w:rFonts w:asciiTheme="majorHAnsi" w:hAnsiTheme="majorHAnsi" w:cstheme="majorHAnsi"/>
          <w:color w:val="000000"/>
        </w:rPr>
        <w:t xml:space="preserve">resistance </w:t>
      </w:r>
      <w:r w:rsidR="00231FD0" w:rsidRPr="0014556C">
        <w:rPr>
          <w:rFonts w:asciiTheme="majorHAnsi" w:hAnsiTheme="majorHAnsi" w:cstheme="majorHAnsi"/>
          <w:color w:val="000000"/>
        </w:rPr>
        <w:t>to</w:t>
      </w:r>
      <w:r w:rsidRPr="0014556C">
        <w:rPr>
          <w:rFonts w:asciiTheme="majorHAnsi" w:hAnsiTheme="majorHAnsi" w:cstheme="majorHAnsi"/>
          <w:color w:val="000000"/>
        </w:rPr>
        <w:t xml:space="preserve"> viral pathogens provides unprecedented opportunity for Genotype to Phenotype (G2P) research in farmed animals. CRISPR screens can be used to identify </w:t>
      </w:r>
      <w:r w:rsidR="00231FD0" w:rsidRPr="0014556C">
        <w:rPr>
          <w:rFonts w:asciiTheme="majorHAnsi" w:hAnsiTheme="majorHAnsi" w:cstheme="majorHAnsi"/>
          <w:color w:val="000000"/>
        </w:rPr>
        <w:t>resistance alleles</w:t>
      </w:r>
      <w:r w:rsidRPr="0014556C">
        <w:rPr>
          <w:rFonts w:asciiTheme="majorHAnsi" w:hAnsiTheme="majorHAnsi" w:cstheme="majorHAnsi"/>
          <w:color w:val="000000"/>
        </w:rPr>
        <w:t xml:space="preserve"> that can be harnessed for breeding as well as new vaccine and prophylactic targets. CRISPR screens recently facilitated the discovery that the non-classical major histocompatibility complex II protein SLA-DM is crucial for African swine fever virus replication </w:t>
      </w:r>
      <w:r w:rsidRPr="0014556C">
        <w:rPr>
          <w:rFonts w:asciiTheme="majorHAnsi" w:hAnsiTheme="majorHAnsi" w:cstheme="majorHAnsi"/>
          <w:color w:val="000000"/>
        </w:rPr>
        <w:fldChar w:fldCharType="begin"/>
      </w:r>
      <w:r w:rsidR="0014556C" w:rsidRPr="0014556C">
        <w:rPr>
          <w:rFonts w:asciiTheme="majorHAnsi" w:hAnsiTheme="majorHAnsi" w:cstheme="majorHAnsi"/>
          <w:color w:val="000000"/>
        </w:rPr>
        <w:instrText xml:space="preserve"> ADDIN ZOTERO_ITEM CSL_CITATION {"citationID":"H4O9shCu","properties":{"formattedCitation":"(7)","plainCitation":"(7)","noteIndex":0},"citationItems":[{"id":"YEZZUd3L/gh5kBfvd","uris":["http://www.mendeley.com/documents/?uuid=1a9aefde-cbd7-42e9-8459-9f7f97e752c7"],"itemData":{"DOI":"10.1038/s41598-023-36788-9","ISSN":"2045-2322","abstract":"African swine fever virus (ASFV) is a lethal animal pathogen that enters its host cells through endocytosis. So far, host factors specifically required for ASFV replication have been barely identified. In this study a genome-wide CRISPR/Cas9 knockout screen in porcine cells indicated that the genes RFXANK, RFXAP, SLA-DMA, SLA-DMB, and CIITA are important for productive ASFV infection. The proteins encoded by these genes belong to the major histocompatibility complex II (MHC II), or swine leucocyte antigen complex II (SLA II). RFXAP and CIITA are MHC II-specific transcription factors, whereas SLA-DMA/B are subunits of the non-classical MHC II molecule SLA-DM. Targeted knockout of either of these genes led to severe replication defects of different ASFV isolates, reflected by substantially reduced plating efficiency, cell-to-cell spread, progeny virus titers and viral DNA replication. Transgene-based reconstitution of SLA-DMA/B fully restored the replication capacity demonstrating that SLA-DM, which resides in late endosomes, plays a crucial role during early steps of ASFV infection.","author":[{"dropping-particle":"","family":"Pannhorst","given":"Katrin","non-dropping-particle":"","parse-names":false,"suffix":""},{"dropping-particle":"","family":"Carlson","given":"Jolene","non-dropping-particle":"","parse-names":false,"suffix":""},{"dropping-particle":"","family":"Hölper","given":"Julia E","non-dropping-particle":"","parse-names":false,"suffix":""},{"dropping-particle":"","family":"Grey","given":"Finn","non-dropping-particle":"","parse-names":false,"suffix":""},{"dropping-particle":"","family":"Baillie","given":"John Kenneth","non-dropping-particle":"","parse-names":false,"suffix":""},{"dropping-particle":"","family":"Höper","given":"Dirk","non-dropping-particle":"","parse-names":false,"suffix":""},{"dropping-particle":"","family":"Wöhnke","given":"Elisabeth","non-dropping-particle":"","parse-names":false,"suffix":""},{"dropping-particle":"","family":"Franzke","given":"Kati","non-dropping-particle":"","parse-names":false,"suffix":""},{"dropping-particle":"","family":"Karger","given":"Axel","non-dropping-particle":"","parse-names":false,"suffix":""},{"dropping-particle":"","family":"Fuchs","given":"Walter","non-dropping-particle":"","parse-names":false,"suffix":""},{"dropping-particle":"","family":"Mettenleiter","given":"Thomas C","non-dropping-particle":"","parse-names":false,"suffix":""}],"container-title":"Scientific Reports","id":"5WeySJXx/sGZacRXq","issue":"1","issued":{"date-parts":[["2023"]]},"page":"10342","title":"The non-classical major histocompatibility complex II protein SLA-DM is crucial for African swine fever virus replication","type":"article-journal","volume":"13"}}],"schema":"https://github.com/citation-style-language/schema/raw/master/csl-citation.json"} </w:instrText>
      </w:r>
      <w:r w:rsidRPr="0014556C">
        <w:rPr>
          <w:rFonts w:asciiTheme="majorHAnsi" w:hAnsiTheme="majorHAnsi" w:cstheme="majorHAnsi"/>
          <w:color w:val="000000"/>
        </w:rPr>
        <w:fldChar w:fldCharType="separate"/>
      </w:r>
      <w:r w:rsidR="0014556C" w:rsidRPr="0014556C">
        <w:rPr>
          <w:rFonts w:asciiTheme="majorHAnsi" w:hAnsiTheme="majorHAnsi" w:cstheme="majorHAnsi"/>
          <w:noProof/>
          <w:color w:val="000000"/>
        </w:rPr>
        <w:t>(7)</w:t>
      </w:r>
      <w:r w:rsidRPr="0014556C">
        <w:rPr>
          <w:rFonts w:asciiTheme="majorHAnsi" w:hAnsiTheme="majorHAnsi" w:cstheme="majorHAnsi"/>
          <w:color w:val="000000"/>
        </w:rPr>
        <w:fldChar w:fldCharType="end"/>
      </w:r>
      <w:r w:rsidRPr="0014556C">
        <w:rPr>
          <w:rFonts w:asciiTheme="majorHAnsi" w:hAnsiTheme="majorHAnsi" w:cstheme="majorHAnsi"/>
          <w:color w:val="000000"/>
        </w:rPr>
        <w:t xml:space="preserve"> and identified host factors important for the replication of Porcine Reproductive and Respiratory Syndrome Virus (PRRSV) </w:t>
      </w:r>
      <w:r w:rsidRPr="0014556C">
        <w:rPr>
          <w:rFonts w:asciiTheme="majorHAnsi" w:hAnsiTheme="majorHAnsi" w:cstheme="majorHAnsi"/>
          <w:color w:val="000000"/>
        </w:rPr>
        <w:fldChar w:fldCharType="begin"/>
      </w:r>
      <w:r w:rsidR="0014556C" w:rsidRPr="0014556C">
        <w:rPr>
          <w:rFonts w:asciiTheme="majorHAnsi" w:hAnsiTheme="majorHAnsi" w:cstheme="majorHAnsi"/>
          <w:color w:val="000000"/>
        </w:rPr>
        <w:instrText xml:space="preserve"> ADDIN ZOTERO_ITEM CSL_CITATION {"citationID":"wuQJrI06","properties":{"formattedCitation":"(8)","plainCitation":"(8)","noteIndex":0},"citationItems":[{"id":1482,"uris":["http://zotero.org/users/13766804/items/8BCXG5WR"],"itemData":{"id":1482,"type":"article-journal","abstract":"Porcine reproductive and respiratory syndrome (PRRS), a viral infection caused by PRRS virus (PRRSV) can result in severe reproductive failure, and respiratory disease in the pigs thus causing enormous economic losses to the global swine industry. Although the cellular receptors for PRRSV have been identified, but mechanisms underlying PPRSV replication remain obscure. Here, we have performed a genome-scale CRISPR/Cas9 knockout screen in the pig kidney cells with PRRSV. Several genes were found to be highly enriched post-PRRSV selection, just like KxDL Motif Containing 1(KXD1), Proteasome 26S Subunit, Non-ATPase 3 (PSMD3) and Galectin 2 (LGALS2) and soon on. Importantly, we have identified that loss of KXD1 resulted in the restricted autophagy and inhibited replication of PRRSV. Therefore, our study demonstrates that CRISPR/Cas9 system can be effectively used for the screening of pig factors responsible for PRRSV replication.","container-title":"Virus Research","DOI":"10.1016/j.virusres.2022.198738","ISSN":"0168-1702","journalAbbreviation":"Virus Research","page":"198738","title":"Genome-wide CRISPR/Cas9 screen identifies host factors important for porcine reproductive and respiratory syndrome virus replication","volume":"314","author":[{"family":"Jiang","given":"Jinhe"},{"family":"Sun","given":"Yumei"},{"family":"Wang","given":"Yunlong"},{"family":"Sabek","given":"Ahmed"},{"family":"Shangguan","given":"Aishao"},{"family":"Wang","given":"Kai"},{"family":"Zhao","given":"Shuhong"},{"family":"Li","given":"Guoliang"},{"family":"Zhou","given":"Ao"},{"family":"Zhang","given":"Shujun"}],"issued":{"date-parts":[["2022",6,1]]}}}],"schema":"https://github.com/citation-style-language/schema/raw/master/csl-citation.json"} </w:instrText>
      </w:r>
      <w:r w:rsidRPr="0014556C">
        <w:rPr>
          <w:rFonts w:asciiTheme="majorHAnsi" w:hAnsiTheme="majorHAnsi" w:cstheme="majorHAnsi"/>
          <w:color w:val="000000"/>
        </w:rPr>
        <w:fldChar w:fldCharType="separate"/>
      </w:r>
      <w:r w:rsidR="0014556C" w:rsidRPr="0014556C">
        <w:rPr>
          <w:rFonts w:asciiTheme="majorHAnsi" w:hAnsiTheme="majorHAnsi" w:cstheme="majorHAnsi"/>
          <w:noProof/>
          <w:color w:val="000000"/>
        </w:rPr>
        <w:t>(8)</w:t>
      </w:r>
      <w:r w:rsidRPr="0014556C">
        <w:rPr>
          <w:rFonts w:asciiTheme="majorHAnsi" w:hAnsiTheme="majorHAnsi" w:cstheme="majorHAnsi"/>
          <w:color w:val="000000"/>
        </w:rPr>
        <w:fldChar w:fldCharType="end"/>
      </w:r>
      <w:r w:rsidRPr="0014556C">
        <w:rPr>
          <w:rFonts w:asciiTheme="majorHAnsi" w:hAnsiTheme="majorHAnsi" w:cstheme="majorHAnsi"/>
          <w:color w:val="000000"/>
        </w:rPr>
        <w:t xml:space="preserve">. </w:t>
      </w:r>
    </w:p>
    <w:p w14:paraId="54984DA6" w14:textId="77777777" w:rsidR="00DB2F60" w:rsidRPr="0014556C" w:rsidRDefault="00DB2F60" w:rsidP="0073767A">
      <w:pPr>
        <w:jc w:val="both"/>
        <w:rPr>
          <w:rFonts w:asciiTheme="majorHAnsi" w:hAnsiTheme="majorHAnsi" w:cstheme="majorHAnsi"/>
          <w:color w:val="000000"/>
        </w:rPr>
      </w:pPr>
    </w:p>
    <w:p w14:paraId="6376C597" w14:textId="0B7B265A" w:rsidR="00DB2F60" w:rsidRPr="0014556C" w:rsidRDefault="00DB2F60" w:rsidP="0073767A">
      <w:pPr>
        <w:jc w:val="both"/>
        <w:rPr>
          <w:rFonts w:asciiTheme="majorHAnsi" w:hAnsiTheme="majorHAnsi" w:cstheme="majorHAnsi"/>
          <w:color w:val="000000"/>
        </w:rPr>
      </w:pPr>
      <w:r w:rsidRPr="0014556C">
        <w:rPr>
          <w:rFonts w:asciiTheme="majorHAnsi" w:hAnsiTheme="majorHAnsi" w:cstheme="majorHAnsi"/>
        </w:rPr>
        <w:t>Massively parallel reporter assays (MPRA)</w:t>
      </w:r>
      <w:r w:rsidRPr="0014556C">
        <w:rPr>
          <w:rFonts w:asciiTheme="majorHAnsi" w:hAnsiTheme="majorHAnsi" w:cstheme="majorHAnsi"/>
        </w:rPr>
        <w:t xml:space="preserve"> </w:t>
      </w:r>
      <w:r w:rsidR="0014556C"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{"citationID":"N33pnIAN","properties":{"formattedCitation":"(9)","plainCitation":"(9)","noteIndex":0},"citationItems":[{"id":1484,"uris":["http://zotero.org/users/13766804/items/M5WW8ESV"],"itemData":{"id":1484,"type":"article-journal","abstract":"Massively parallel reporter assays (MPRAs) can simultaneously measure the function of thousands of candidate regulatory sequences (CRSs) in a quantitative manner. In this method, CRSs are cloned upstream of a minimal promoter and reporter gene, alongside a unique barcode, and introduced into cells. If the CRS is a functional regulatory element, it will lead to the transcription of the barcode sequence, which is measured via RNA sequencing and normalized for cellular integration via DNA sequencing of the barcode. This technology has been used to test thousands of sequences and their variants for regulatory activity, to decipher the regulatory code and its evolution, and to develop genetic switches. Lentivirus-based MPRA (lentiMPRA) produces ‘in-genome’ readouts and enables the use of this technique in hard-to-transfect cells. Here, we provide a detailed protocol for lentiMPRA, along with a user-friendly Nextflow-based computational pipeline—MPRAflow—for quantifying CRS activity from different MPRA designs. The lentiMPRA protocol takes ~2 months, which includes sequencing turnaround time and data processing with MPRAflow.","container-title":"Nature Protocols","DOI":"10.1038/s41596-020-0333-5","ISSN":"1750-2799","issue":"8","journalAbbreviation":"Nature Protocols","page":"2387-2412","title":"lentiMPRA and MPRAflow for high-throughput functional characterization of gene regulatory elements","volume":"15","author":[{"family":"Gordon","given":"M. Grace"},{"family":"Inoue","given":"Fumitaka"},{"family":"Martin","given":"Beth"},{"family":"Schubach","given":"Max"},{"family":"Agarwal","given":"Vikram"},{"family":"Whalen","given":"Sean"},{"family":"Feng","given":"Shiyun"},{"family":"Zhao","given":"Jingjing"},{"family":"Ashuach","given":"Tal"},{"family":"Ziffra","given":"Ryan"},{"family":"Kreimer","given":"Anat"},{"family":"Georgakopoulos-Soares","given":"Ilias"},{"family":"Yosef","given":"Nir"},{"family":"Ye","given":"Chun Jimmie"},{"family":"Pollard","given":"Katherine S."},{"family":"Shendure","given":"Jay"},{"family":"Kircher","given":"Martin"},{"family":"Ahituv","given":"Nadav"}],"issued":{"date-parts":[["2020",8,1]]}}}],"schema":"https://github.com/citation-style-language/schema/raw/master/csl-citation.json"} </w:instrText>
      </w:r>
      <w:r w:rsidR="0014556C" w:rsidRPr="0014556C">
        <w:rPr>
          <w:rFonts w:asciiTheme="majorHAnsi" w:hAnsiTheme="majorHAnsi" w:cstheme="majorHAnsi"/>
        </w:rPr>
        <w:fldChar w:fldCharType="separate"/>
      </w:r>
      <w:r w:rsidR="0014556C" w:rsidRPr="0014556C">
        <w:rPr>
          <w:rFonts w:asciiTheme="majorHAnsi" w:hAnsiTheme="majorHAnsi" w:cstheme="majorHAnsi"/>
          <w:noProof/>
        </w:rPr>
        <w:t>(9)</w:t>
      </w:r>
      <w:r w:rsidR="0014556C" w:rsidRPr="0014556C">
        <w:rPr>
          <w:rFonts w:asciiTheme="majorHAnsi" w:hAnsiTheme="majorHAnsi" w:cstheme="majorHAnsi"/>
        </w:rPr>
        <w:fldChar w:fldCharType="end"/>
      </w:r>
      <w:r w:rsidR="0014556C" w:rsidRPr="0014556C">
        <w:rPr>
          <w:rFonts w:asciiTheme="majorHAnsi" w:hAnsiTheme="majorHAnsi" w:cstheme="majorHAnsi"/>
        </w:rPr>
        <w:t xml:space="preserve"> </w:t>
      </w:r>
      <w:r w:rsidRPr="0014556C">
        <w:rPr>
          <w:rFonts w:asciiTheme="majorHAnsi" w:hAnsiTheme="majorHAnsi" w:cstheme="majorHAnsi"/>
        </w:rPr>
        <w:t>are a similar</w:t>
      </w:r>
      <w:r w:rsidRPr="0014556C">
        <w:rPr>
          <w:rFonts w:asciiTheme="majorHAnsi" w:hAnsiTheme="majorHAnsi" w:cstheme="majorHAnsi"/>
        </w:rPr>
        <w:t xml:space="preserve"> </w:t>
      </w:r>
      <w:r w:rsidRPr="0014556C">
        <w:rPr>
          <w:rFonts w:asciiTheme="majorHAnsi" w:hAnsiTheme="majorHAnsi" w:cstheme="majorHAnsi"/>
          <w:i/>
          <w:iCs/>
        </w:rPr>
        <w:t>in vitro</w:t>
      </w:r>
      <w:r w:rsidRPr="0014556C">
        <w:rPr>
          <w:rFonts w:asciiTheme="majorHAnsi" w:hAnsiTheme="majorHAnsi" w:cstheme="majorHAnsi"/>
        </w:rPr>
        <w:t xml:space="preserve"> method that enables simultaneous functional testing of thousands of candidate causative regulatory variants</w:t>
      </w:r>
      <w:r w:rsidRPr="0014556C">
        <w:rPr>
          <w:rFonts w:asciiTheme="majorHAnsi" w:hAnsiTheme="majorHAnsi" w:cstheme="majorHAnsi"/>
        </w:rPr>
        <w:t xml:space="preserve">. They have been applied in farmed animals to identify trait-linked regulatory variation e.g.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{"citationID":"5c1CRJgB","properties":{"formattedCitation":"(10)","plainCitation":"(10)","noteIndex":0},"citationItems":[{"id":458,"uris":["http://zotero.org/users/13766804/items/Z7PAT34V"],"itemData":{"id":458,"type":"chapter","abstract":"Differentiating causative variants from linked variants is a major challenge of modern genetics. Here, we describe development of a massively parallel reporter assay (MPRA), an in vitro method that enables simultaneous functional testing of thousands of candidate causative regulatory variants. Candidates for the MPRA were identified through analysis of two large molecular quantitative trait loci (QTL) datasets derived from sequencing of bovine mammary biopsies, comprising an expression QTL resource (n=371 cows), and a histone QTL dataset (n=99 cows). Candidates that overlapped with lactation QTL discovered from genome-wide association studies were further prioritised to yield a final library of 242,340 oligos representing 24,234 regulatory sequences for expression testing. This paper gives a brief description of the MPRA method, our candidate selection criteria, cloning approach, and the composition of the final oligo pool for expression analysis.","container-title":"Proceedings of 12th World Congress on Genetics Applied to Livestock Production (WCGALP)","note":"DOI: doi:10.3920/978-90-8686-940-4_534","page":"534-2216","publisher":"Wageningen Academic Publishers","title":"534. A massively parallel reporter assay to screen bovine regulatory variants","URL":"https://doi.org/10.3920/978-90-8686-940-4_534","author":[{"family":"Littlejohn","given":"M D"},{"family":"Lopdell","given":"T J"},{"family":"Trevarton","given":"A"},{"family":"Moody","given":"J"},{"family":"Tiplady","given":"K M"},{"family":"Burborough","given":"K A"},{"family":"Prowse-Wilkins","given":"C P"},{"family":"Chamberlain","given":"A J"},{"family":"Goddard","given":"M"},{"family":"Snell","given":"R G"}],"issued":{"date-parts":[["2022"]]}}}],"schema":"https://github.com/citation-style-language/schema/raw/master/csl-citation.json"}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(10)</w:t>
      </w:r>
      <w:r w:rsidRPr="0014556C">
        <w:rPr>
          <w:rFonts w:asciiTheme="majorHAnsi" w:hAnsiTheme="majorHAnsi" w:cstheme="majorHAnsi"/>
        </w:rPr>
        <w:fldChar w:fldCharType="end"/>
      </w:r>
      <w:r w:rsidRPr="0014556C">
        <w:rPr>
          <w:rFonts w:asciiTheme="majorHAnsi" w:hAnsiTheme="majorHAnsi" w:cstheme="majorHAnsi"/>
        </w:rPr>
        <w:t>.</w:t>
      </w:r>
    </w:p>
    <w:p w14:paraId="34CB81DD" w14:textId="77777777" w:rsidR="008D2848" w:rsidRPr="0014556C" w:rsidRDefault="008D2848" w:rsidP="0073767A">
      <w:pPr>
        <w:jc w:val="both"/>
        <w:rPr>
          <w:rFonts w:asciiTheme="majorHAnsi" w:hAnsiTheme="majorHAnsi" w:cstheme="majorHAnsi"/>
          <w:color w:val="000000"/>
        </w:rPr>
      </w:pPr>
    </w:p>
    <w:p w14:paraId="68F1B527" w14:textId="32EC1268" w:rsidR="0073767A" w:rsidRPr="0014556C" w:rsidRDefault="0014556C" w:rsidP="0073767A">
      <w:pPr>
        <w:jc w:val="both"/>
        <w:rPr>
          <w:rFonts w:asciiTheme="majorHAnsi" w:hAnsiTheme="majorHAnsi" w:cstheme="majorHAnsi"/>
          <w:color w:val="000000"/>
        </w:rPr>
      </w:pPr>
      <w:r w:rsidRPr="0014556C">
        <w:rPr>
          <w:rFonts w:asciiTheme="majorHAnsi" w:hAnsiTheme="majorHAnsi" w:cstheme="majorHAnsi"/>
          <w:color w:val="000000"/>
        </w:rPr>
        <w:t>Both CRISPR screens and MPRAs</w:t>
      </w:r>
      <w:r w:rsidR="00231FD0" w:rsidRPr="0014556C">
        <w:rPr>
          <w:rFonts w:asciiTheme="majorHAnsi" w:hAnsiTheme="majorHAnsi" w:cstheme="majorHAnsi"/>
          <w:color w:val="000000"/>
        </w:rPr>
        <w:t xml:space="preserve"> rely on high resolution highly annotated genomes for farmed animals to facilitate accurate </w:t>
      </w:r>
      <w:r w:rsidR="008D2848" w:rsidRPr="0014556C">
        <w:rPr>
          <w:rFonts w:asciiTheme="majorHAnsi" w:hAnsiTheme="majorHAnsi" w:cstheme="majorHAnsi"/>
          <w:color w:val="000000"/>
        </w:rPr>
        <w:t>sgRNA library</w:t>
      </w:r>
      <w:r w:rsidR="00DB2F60" w:rsidRPr="0014556C">
        <w:rPr>
          <w:rFonts w:asciiTheme="majorHAnsi" w:hAnsiTheme="majorHAnsi" w:cstheme="majorHAnsi"/>
          <w:color w:val="000000"/>
        </w:rPr>
        <w:t xml:space="preserve"> and assay</w:t>
      </w:r>
      <w:r w:rsidR="008D2848" w:rsidRPr="0014556C">
        <w:rPr>
          <w:rFonts w:asciiTheme="majorHAnsi" w:hAnsiTheme="majorHAnsi" w:cstheme="majorHAnsi"/>
          <w:color w:val="000000"/>
        </w:rPr>
        <w:t xml:space="preserve"> design. As such</w:t>
      </w:r>
      <w:r w:rsidR="0073767A" w:rsidRPr="0014556C">
        <w:rPr>
          <w:rFonts w:asciiTheme="majorHAnsi" w:hAnsiTheme="majorHAnsi" w:cstheme="majorHAnsi"/>
          <w:color w:val="000000"/>
        </w:rPr>
        <w:t xml:space="preserve"> th</w:t>
      </w:r>
      <w:r w:rsidRPr="0014556C">
        <w:rPr>
          <w:rFonts w:asciiTheme="majorHAnsi" w:hAnsiTheme="majorHAnsi" w:cstheme="majorHAnsi"/>
          <w:color w:val="000000"/>
        </w:rPr>
        <w:t>ese</w:t>
      </w:r>
      <w:r w:rsidR="0073767A" w:rsidRPr="0014556C">
        <w:rPr>
          <w:rFonts w:asciiTheme="majorHAnsi" w:hAnsiTheme="majorHAnsi" w:cstheme="majorHAnsi"/>
          <w:color w:val="000000"/>
        </w:rPr>
        <w:t xml:space="preserve"> technolog</w:t>
      </w:r>
      <w:r w:rsidRPr="0014556C">
        <w:rPr>
          <w:rFonts w:asciiTheme="majorHAnsi" w:hAnsiTheme="majorHAnsi" w:cstheme="majorHAnsi"/>
          <w:color w:val="000000"/>
        </w:rPr>
        <w:t>ies</w:t>
      </w:r>
      <w:r w:rsidR="0073767A" w:rsidRPr="0014556C">
        <w:rPr>
          <w:rFonts w:asciiTheme="majorHAnsi" w:hAnsiTheme="majorHAnsi" w:cstheme="majorHAnsi"/>
          <w:color w:val="000000"/>
        </w:rPr>
        <w:t xml:space="preserve"> </w:t>
      </w:r>
      <w:r w:rsidR="008D2848" w:rsidRPr="0014556C">
        <w:rPr>
          <w:rFonts w:asciiTheme="majorHAnsi" w:hAnsiTheme="majorHAnsi" w:cstheme="majorHAnsi"/>
          <w:color w:val="000000"/>
        </w:rPr>
        <w:t>provides</w:t>
      </w:r>
      <w:r w:rsidR="0073767A" w:rsidRPr="0014556C">
        <w:rPr>
          <w:rFonts w:asciiTheme="majorHAnsi" w:hAnsiTheme="majorHAnsi" w:cstheme="majorHAnsi"/>
          <w:color w:val="000000"/>
        </w:rPr>
        <w:t xml:space="preserve"> a route to application of functional genomic information</w:t>
      </w:r>
      <w:r w:rsidR="008D2848" w:rsidRPr="0014556C">
        <w:rPr>
          <w:rFonts w:asciiTheme="majorHAnsi" w:hAnsiTheme="majorHAnsi" w:cstheme="majorHAnsi"/>
          <w:color w:val="000000"/>
        </w:rPr>
        <w:t xml:space="preserve"> generated by the </w:t>
      </w:r>
      <w:proofErr w:type="spellStart"/>
      <w:r w:rsidR="008D2848" w:rsidRPr="0014556C">
        <w:rPr>
          <w:rFonts w:asciiTheme="majorHAnsi" w:hAnsiTheme="majorHAnsi" w:cstheme="majorHAnsi"/>
          <w:color w:val="000000"/>
        </w:rPr>
        <w:t>EuroFAANG</w:t>
      </w:r>
      <w:proofErr w:type="spellEnd"/>
      <w:r w:rsidR="008D2848" w:rsidRPr="0014556C">
        <w:rPr>
          <w:rFonts w:asciiTheme="majorHAnsi" w:hAnsiTheme="majorHAnsi" w:cstheme="majorHAnsi"/>
          <w:color w:val="000000"/>
        </w:rPr>
        <w:t xml:space="preserve"> H2020 projects</w:t>
      </w:r>
      <w:r w:rsidR="0073767A" w:rsidRPr="0014556C">
        <w:rPr>
          <w:rFonts w:asciiTheme="majorHAnsi" w:hAnsiTheme="majorHAnsi" w:cstheme="majorHAnsi"/>
          <w:color w:val="000000"/>
        </w:rPr>
        <w:t xml:space="preserve"> for better understanding the genomic control of disease resistance in farmed animals. </w:t>
      </w:r>
      <w:r w:rsidRPr="0014556C">
        <w:rPr>
          <w:rFonts w:asciiTheme="majorHAnsi" w:hAnsiTheme="majorHAnsi" w:cstheme="majorHAnsi"/>
          <w:color w:val="000000"/>
        </w:rPr>
        <w:t>Typically,</w:t>
      </w:r>
      <w:r w:rsidR="008D2848" w:rsidRPr="0014556C">
        <w:rPr>
          <w:rFonts w:asciiTheme="majorHAnsi" w:hAnsiTheme="majorHAnsi" w:cstheme="majorHAnsi"/>
          <w:color w:val="000000"/>
        </w:rPr>
        <w:t xml:space="preserve"> this work is performed using traditional cell culture techniques at a relatively small scale. </w:t>
      </w:r>
      <w:r w:rsidR="0073767A" w:rsidRPr="0014556C">
        <w:rPr>
          <w:rFonts w:asciiTheme="majorHAnsi" w:hAnsiTheme="majorHAnsi" w:cstheme="majorHAnsi"/>
          <w:color w:val="000000"/>
        </w:rPr>
        <w:t xml:space="preserve">Scaling this potential up using </w:t>
      </w:r>
      <w:r w:rsidR="008D2848" w:rsidRPr="0014556C">
        <w:rPr>
          <w:rFonts w:asciiTheme="majorHAnsi" w:hAnsiTheme="majorHAnsi" w:cstheme="majorHAnsi"/>
          <w:color w:val="000000"/>
        </w:rPr>
        <w:t>high-throughput</w:t>
      </w:r>
      <w:r w:rsidR="0073767A" w:rsidRPr="0014556C">
        <w:rPr>
          <w:rFonts w:asciiTheme="majorHAnsi" w:hAnsiTheme="majorHAnsi" w:cstheme="majorHAnsi"/>
          <w:color w:val="000000"/>
        </w:rPr>
        <w:t xml:space="preserve"> cellular phenotyping systems provides even further power through the ability to screen 100’s of 1000’s of variants in multiple different cell lines. </w:t>
      </w:r>
    </w:p>
    <w:p w14:paraId="38F60C79" w14:textId="77777777" w:rsidR="0073767A" w:rsidRPr="0014556C" w:rsidRDefault="0073767A" w:rsidP="0073767A">
      <w:pPr>
        <w:jc w:val="both"/>
        <w:rPr>
          <w:rFonts w:asciiTheme="majorHAnsi" w:hAnsiTheme="majorHAnsi" w:cstheme="majorHAnsi"/>
          <w:color w:val="000000"/>
        </w:rPr>
      </w:pPr>
    </w:p>
    <w:p w14:paraId="007DF7D2" w14:textId="771104A6" w:rsidR="0073767A" w:rsidRPr="0014556C" w:rsidRDefault="008D2848" w:rsidP="0073767A">
      <w:pPr>
        <w:jc w:val="both"/>
        <w:rPr>
          <w:rFonts w:asciiTheme="majorHAnsi" w:hAnsiTheme="majorHAnsi" w:cstheme="majorHAnsi"/>
          <w:color w:val="000000"/>
        </w:rPr>
      </w:pPr>
      <w:r w:rsidRPr="0014556C">
        <w:rPr>
          <w:rFonts w:asciiTheme="majorHAnsi" w:hAnsiTheme="majorHAnsi" w:cstheme="majorHAnsi"/>
          <w:color w:val="000000"/>
        </w:rPr>
        <w:t xml:space="preserve">The aim of this deliverable was to build an access framework, via the </w:t>
      </w:r>
      <w:proofErr w:type="spellStart"/>
      <w:r w:rsidRPr="0014556C">
        <w:rPr>
          <w:rFonts w:asciiTheme="majorHAnsi" w:hAnsiTheme="majorHAnsi" w:cstheme="majorHAnsi"/>
          <w:color w:val="000000"/>
        </w:rPr>
        <w:t>EuroFAANG</w:t>
      </w:r>
      <w:proofErr w:type="spellEnd"/>
      <w:r w:rsidRPr="0014556C">
        <w:rPr>
          <w:rFonts w:asciiTheme="majorHAnsi" w:hAnsiTheme="majorHAnsi" w:cstheme="majorHAnsi"/>
          <w:color w:val="000000"/>
        </w:rPr>
        <w:t xml:space="preserve"> RI project, for applying CRISPR screens in farmed animals to advance G2P research and the potential to make these highly scalable </w:t>
      </w:r>
      <w:r w:rsidRPr="0014556C">
        <w:rPr>
          <w:rFonts w:asciiTheme="majorHAnsi" w:hAnsiTheme="majorHAnsi" w:cstheme="majorHAnsi"/>
        </w:rPr>
        <w:t>through h</w:t>
      </w:r>
      <w:r w:rsidRPr="0014556C">
        <w:rPr>
          <w:rFonts w:asciiTheme="majorHAnsi" w:hAnsiTheme="majorHAnsi" w:cstheme="majorHAnsi"/>
        </w:rPr>
        <w:t>igh-throughput cellular phenotyping platforms</w:t>
      </w:r>
      <w:r w:rsidRPr="0014556C">
        <w:rPr>
          <w:rFonts w:asciiTheme="majorHAnsi" w:hAnsiTheme="majorHAnsi" w:cstheme="majorHAnsi"/>
        </w:rPr>
        <w:t xml:space="preserve">. To achieve this UEDIN and EFFAB performed several scoping exercises which are described below. </w:t>
      </w:r>
    </w:p>
    <w:p w14:paraId="6A0307A2" w14:textId="77777777" w:rsidR="0073767A" w:rsidRPr="0014556C" w:rsidRDefault="0073767A" w:rsidP="0073767A"/>
    <w:p w14:paraId="1CAA42D0" w14:textId="1D7679CD" w:rsidR="00D077CB" w:rsidRPr="0014556C" w:rsidRDefault="00D077CB" w:rsidP="008D2848">
      <w:pPr>
        <w:pStyle w:val="Heading2"/>
        <w:jc w:val="both"/>
        <w:rPr>
          <w:rFonts w:asciiTheme="majorHAnsi" w:hAnsiTheme="majorHAnsi" w:cstheme="majorHAnsi"/>
        </w:rPr>
      </w:pPr>
      <w:bookmarkStart w:id="5" w:name="_Toc170418865"/>
      <w:r w:rsidRPr="0014556C">
        <w:rPr>
          <w:rFonts w:asciiTheme="majorHAnsi" w:hAnsiTheme="majorHAnsi" w:cstheme="majorHAnsi"/>
        </w:rPr>
        <w:lastRenderedPageBreak/>
        <w:t xml:space="preserve">Summary of </w:t>
      </w:r>
      <w:r w:rsidR="00DB2F60" w:rsidRPr="0014556C">
        <w:rPr>
          <w:rFonts w:asciiTheme="majorHAnsi" w:hAnsiTheme="majorHAnsi" w:cstheme="majorHAnsi"/>
        </w:rPr>
        <w:t xml:space="preserve">the </w:t>
      </w:r>
      <w:r w:rsidRPr="0014556C">
        <w:rPr>
          <w:rFonts w:asciiTheme="majorHAnsi" w:hAnsiTheme="majorHAnsi" w:cstheme="majorHAnsi"/>
        </w:rPr>
        <w:t xml:space="preserve">discussion </w:t>
      </w:r>
      <w:r w:rsidR="00DB2F60" w:rsidRPr="0014556C">
        <w:rPr>
          <w:rFonts w:asciiTheme="majorHAnsi" w:hAnsiTheme="majorHAnsi" w:cstheme="majorHAnsi"/>
        </w:rPr>
        <w:t xml:space="preserve">on </w:t>
      </w:r>
      <w:r w:rsidRPr="0014556C">
        <w:rPr>
          <w:rFonts w:asciiTheme="majorHAnsi" w:hAnsiTheme="majorHAnsi" w:cstheme="majorHAnsi"/>
        </w:rPr>
        <w:t xml:space="preserve">‘High-throughput </w:t>
      </w:r>
      <w:r w:rsidR="008D2848" w:rsidRPr="0014556C">
        <w:rPr>
          <w:rFonts w:asciiTheme="majorHAnsi" w:hAnsiTheme="majorHAnsi" w:cstheme="majorHAnsi"/>
        </w:rPr>
        <w:t xml:space="preserve">cellular </w:t>
      </w:r>
      <w:r w:rsidRPr="0014556C">
        <w:rPr>
          <w:rFonts w:asciiTheme="majorHAnsi" w:hAnsiTheme="majorHAnsi" w:cstheme="majorHAnsi"/>
        </w:rPr>
        <w:t xml:space="preserve">phenotyping platforms and </w:t>
      </w:r>
      <w:r w:rsidR="008D2848" w:rsidRPr="0014556C">
        <w:rPr>
          <w:rFonts w:asciiTheme="majorHAnsi" w:hAnsiTheme="majorHAnsi" w:cstheme="majorHAnsi"/>
        </w:rPr>
        <w:t>CRISPR</w:t>
      </w:r>
      <w:r w:rsidR="00DB2F60" w:rsidRPr="0014556C">
        <w:rPr>
          <w:rFonts w:asciiTheme="majorHAnsi" w:hAnsiTheme="majorHAnsi" w:cstheme="majorHAnsi"/>
        </w:rPr>
        <w:t xml:space="preserve"> screens</w:t>
      </w:r>
      <w:r w:rsidRPr="0014556C">
        <w:rPr>
          <w:rFonts w:asciiTheme="majorHAnsi" w:hAnsiTheme="majorHAnsi" w:cstheme="majorHAnsi"/>
        </w:rPr>
        <w:t>’ at the second meeting of the European Think Tank on Genome Editing</w:t>
      </w:r>
      <w:bookmarkEnd w:id="5"/>
    </w:p>
    <w:p w14:paraId="4AD1DFEE" w14:textId="77777777" w:rsidR="00D077CB" w:rsidRPr="0014556C" w:rsidRDefault="00D077CB" w:rsidP="00D077CB">
      <w:pPr>
        <w:jc w:val="both"/>
        <w:rPr>
          <w:rFonts w:asciiTheme="majorHAnsi" w:hAnsiTheme="majorHAnsi" w:cstheme="majorHAnsi"/>
        </w:rPr>
      </w:pPr>
      <w:r w:rsidRPr="0014556C">
        <w:rPr>
          <w:rFonts w:asciiTheme="majorHAnsi" w:hAnsiTheme="majorHAnsi" w:cstheme="majorHAnsi"/>
        </w:rPr>
        <w:t xml:space="preserve">The </w:t>
      </w:r>
      <w:r w:rsidRPr="0014556C">
        <w:rPr>
          <w:rFonts w:asciiTheme="majorHAnsi" w:hAnsiTheme="majorHAnsi" w:cstheme="majorHAnsi"/>
          <w:lang w:val="en-US"/>
        </w:rPr>
        <w:t>second meeting of the European Think Tank on Genome Editing</w:t>
      </w:r>
      <w:r w:rsidRPr="0014556C">
        <w:rPr>
          <w:rFonts w:asciiTheme="majorHAnsi" w:hAnsiTheme="majorHAnsi" w:cstheme="majorHAnsi"/>
        </w:rPr>
        <w:t xml:space="preserve"> took place virtually on the 8</w:t>
      </w:r>
      <w:r w:rsidRPr="0014556C">
        <w:rPr>
          <w:rFonts w:asciiTheme="majorHAnsi" w:hAnsiTheme="majorHAnsi" w:cstheme="majorHAnsi"/>
          <w:vertAlign w:val="superscript"/>
        </w:rPr>
        <w:t>th</w:t>
      </w:r>
      <w:r w:rsidRPr="0014556C">
        <w:rPr>
          <w:rFonts w:asciiTheme="majorHAnsi" w:hAnsiTheme="majorHAnsi" w:cstheme="majorHAnsi"/>
        </w:rPr>
        <w:t xml:space="preserve"> of March 2024. There were 42 attendees in total, </w:t>
      </w:r>
      <w:r w:rsidRPr="0014556C">
        <w:rPr>
          <w:rFonts w:asciiTheme="majorHAnsi" w:eastAsia="Calibri" w:hAnsiTheme="majorHAnsi" w:cstheme="majorHAnsi"/>
          <w:szCs w:val="20"/>
        </w:rPr>
        <w:t>12 researchers</w:t>
      </w:r>
      <w:r w:rsidRPr="0014556C">
        <w:rPr>
          <w:rFonts w:asciiTheme="majorHAnsi" w:hAnsiTheme="majorHAnsi" w:cstheme="majorHAnsi"/>
        </w:rPr>
        <w:t xml:space="preserve">, </w:t>
      </w:r>
      <w:r w:rsidRPr="0014556C">
        <w:rPr>
          <w:rFonts w:asciiTheme="majorHAnsi" w:eastAsiaTheme="minorEastAsia" w:hAnsiTheme="majorHAnsi" w:cstheme="majorHAnsi"/>
        </w:rPr>
        <w:t>3 ethics expert</w:t>
      </w:r>
      <w:r w:rsidRPr="0014556C">
        <w:rPr>
          <w:rFonts w:asciiTheme="majorHAnsi" w:hAnsiTheme="majorHAnsi" w:cstheme="majorHAnsi"/>
        </w:rPr>
        <w:t xml:space="preserve">, </w:t>
      </w:r>
      <w:r w:rsidRPr="0014556C">
        <w:rPr>
          <w:rFonts w:asciiTheme="majorHAnsi" w:eastAsiaTheme="minorEastAsia" w:hAnsiTheme="majorHAnsi" w:cstheme="majorHAnsi"/>
        </w:rPr>
        <w:t xml:space="preserve">2 </w:t>
      </w:r>
      <w:r w:rsidRPr="0014556C">
        <w:rPr>
          <w:rFonts w:asciiTheme="majorHAnsi" w:hAnsiTheme="majorHAnsi" w:cstheme="majorHAnsi"/>
        </w:rPr>
        <w:t>w</w:t>
      </w:r>
      <w:r w:rsidRPr="0014556C">
        <w:rPr>
          <w:rFonts w:asciiTheme="majorHAnsi" w:eastAsiaTheme="minorEastAsia" w:hAnsiTheme="majorHAnsi" w:cstheme="majorHAnsi"/>
        </w:rPr>
        <w:t xml:space="preserve">elfare </w:t>
      </w:r>
      <w:r w:rsidRPr="0014556C">
        <w:rPr>
          <w:rFonts w:asciiTheme="majorHAnsi" w:hAnsiTheme="majorHAnsi" w:cstheme="majorHAnsi"/>
        </w:rPr>
        <w:t>e</w:t>
      </w:r>
      <w:r w:rsidRPr="0014556C">
        <w:rPr>
          <w:rFonts w:asciiTheme="majorHAnsi" w:eastAsiaTheme="minorEastAsia" w:hAnsiTheme="majorHAnsi" w:cstheme="majorHAnsi"/>
        </w:rPr>
        <w:t>xperts</w:t>
      </w:r>
      <w:r w:rsidRPr="0014556C">
        <w:rPr>
          <w:rFonts w:asciiTheme="majorHAnsi" w:hAnsiTheme="majorHAnsi" w:cstheme="majorHAnsi"/>
        </w:rPr>
        <w:t xml:space="preserve"> and </w:t>
      </w:r>
      <w:r w:rsidRPr="0014556C">
        <w:rPr>
          <w:rFonts w:asciiTheme="majorHAnsi" w:eastAsiaTheme="minorEastAsia" w:hAnsiTheme="majorHAnsi" w:cstheme="majorHAnsi"/>
        </w:rPr>
        <w:t xml:space="preserve">15 </w:t>
      </w:r>
      <w:r w:rsidRPr="0014556C">
        <w:rPr>
          <w:rFonts w:asciiTheme="majorHAnsi" w:hAnsiTheme="majorHAnsi" w:cstheme="majorHAnsi"/>
        </w:rPr>
        <w:t xml:space="preserve">representatives from </w:t>
      </w:r>
      <w:r w:rsidRPr="0014556C">
        <w:rPr>
          <w:rFonts w:asciiTheme="majorHAnsi" w:eastAsiaTheme="minorEastAsia" w:hAnsiTheme="majorHAnsi" w:cstheme="majorHAnsi"/>
        </w:rPr>
        <w:t>breeding companies/org</w:t>
      </w:r>
      <w:r w:rsidRPr="0014556C">
        <w:rPr>
          <w:rFonts w:asciiTheme="majorHAnsi" w:hAnsiTheme="majorHAnsi" w:cstheme="majorHAnsi"/>
        </w:rPr>
        <w:t xml:space="preserve">anisations. EFFAB facilitated the invitations, and many attendees were EFFAB and/or FABRE-TP members. The Farm Animal Breeding and Reproduction Technology Platform (FABRE TP) promotes research and innovation for sustainable animal breeding and reproduction in Europe. FABRE TP is the main contact point for farm animal breeding and reproduction organisations in Europe, aiming to mobilise the research efforts, technological development and innovation efforts in Europe. FABRE TP brings together key stakeholders around a common vision for the development of technologies and practises around farm animal breeding and reproduction. </w:t>
      </w:r>
    </w:p>
    <w:p w14:paraId="70889A67" w14:textId="77777777" w:rsidR="00D077CB" w:rsidRPr="0014556C" w:rsidRDefault="00D077CB" w:rsidP="00D077CB">
      <w:pPr>
        <w:jc w:val="both"/>
        <w:rPr>
          <w:rFonts w:asciiTheme="majorHAnsi" w:hAnsiTheme="majorHAnsi" w:cstheme="majorHAnsi"/>
        </w:rPr>
      </w:pPr>
    </w:p>
    <w:p w14:paraId="439865AB" w14:textId="77777777" w:rsidR="00D077CB" w:rsidRPr="0014556C" w:rsidRDefault="00D077CB" w:rsidP="00D077CB">
      <w:pPr>
        <w:jc w:val="both"/>
        <w:rPr>
          <w:rFonts w:asciiTheme="majorHAnsi" w:hAnsiTheme="majorHAnsi" w:cstheme="majorHAnsi"/>
          <w:lang w:val="en-US"/>
        </w:rPr>
      </w:pPr>
      <w:r w:rsidRPr="0014556C">
        <w:rPr>
          <w:rFonts w:asciiTheme="majorHAnsi" w:hAnsiTheme="majorHAnsi" w:cstheme="majorHAnsi"/>
        </w:rPr>
        <w:t xml:space="preserve">The attendees split into two groups to discuss two different topics with 21 participants joining the D5.1 focused discussion on </w:t>
      </w:r>
      <w:r w:rsidRPr="0014556C">
        <w:rPr>
          <w:rFonts w:asciiTheme="majorHAnsi" w:eastAsiaTheme="minorEastAsia" w:hAnsiTheme="majorHAnsi" w:cstheme="majorHAnsi"/>
          <w:lang w:val="en-US"/>
        </w:rPr>
        <w:t>high-throughput phenotyping platforms and functional assays</w:t>
      </w:r>
      <w:r w:rsidRPr="0014556C">
        <w:rPr>
          <w:rFonts w:asciiTheme="majorHAnsi" w:hAnsiTheme="majorHAnsi" w:cstheme="majorHAnsi"/>
          <w:lang w:val="en-US"/>
        </w:rPr>
        <w:t>.</w:t>
      </w:r>
    </w:p>
    <w:p w14:paraId="48811B86" w14:textId="77777777" w:rsidR="00D077CB" w:rsidRPr="0014556C" w:rsidRDefault="00D077CB" w:rsidP="00D077CB">
      <w:pPr>
        <w:jc w:val="both"/>
        <w:rPr>
          <w:rFonts w:asciiTheme="majorHAnsi" w:hAnsiTheme="majorHAnsi" w:cstheme="majorHAnsi"/>
          <w:lang w:val="en-US"/>
        </w:rPr>
      </w:pPr>
    </w:p>
    <w:p w14:paraId="1C09CBAF" w14:textId="41891E36" w:rsidR="00D077CB" w:rsidRPr="0014556C" w:rsidRDefault="00D077CB" w:rsidP="00D077CB">
      <w:pPr>
        <w:jc w:val="both"/>
        <w:rPr>
          <w:rFonts w:asciiTheme="majorHAnsi" w:hAnsiTheme="majorHAnsi" w:cstheme="majorHAnsi"/>
          <w:lang w:val="en-US"/>
        </w:rPr>
      </w:pPr>
      <w:r w:rsidRPr="0014556C">
        <w:rPr>
          <w:rFonts w:asciiTheme="majorHAnsi" w:hAnsiTheme="majorHAnsi" w:cstheme="majorHAnsi"/>
          <w:lang w:val="en-US"/>
        </w:rPr>
        <w:t xml:space="preserve">Emily Clark (UEDIN) gave a short introduction to </w:t>
      </w:r>
      <w:r w:rsidRPr="0014556C">
        <w:rPr>
          <w:rFonts w:asciiTheme="majorHAnsi" w:hAnsiTheme="majorHAnsi" w:cstheme="majorHAnsi"/>
        </w:rPr>
        <w:t>‘</w:t>
      </w:r>
      <w:r w:rsidRPr="0014556C">
        <w:rPr>
          <w:rFonts w:asciiTheme="majorHAnsi" w:eastAsiaTheme="minorEastAsia" w:hAnsiTheme="majorHAnsi" w:cstheme="majorHAnsi"/>
          <w:lang w:val="en-US"/>
        </w:rPr>
        <w:t>High-throughput phenotyping platforms and functional assays</w:t>
      </w:r>
      <w:r w:rsidRPr="0014556C">
        <w:rPr>
          <w:rFonts w:asciiTheme="majorHAnsi" w:hAnsiTheme="majorHAnsi" w:cstheme="majorHAnsi"/>
          <w:lang w:val="en-US"/>
        </w:rPr>
        <w:t>’ including describing the potential of genome wide CRISPR screens and MPRA, current capacity in Europe, and recent examples of publications utilizing these technologies (Figure 2 A &amp; B).</w:t>
      </w:r>
    </w:p>
    <w:p w14:paraId="3ED7B08C" w14:textId="77777777" w:rsidR="00D077CB" w:rsidRPr="0014556C" w:rsidRDefault="00D077CB" w:rsidP="00D077CB">
      <w:pPr>
        <w:jc w:val="both"/>
        <w:rPr>
          <w:rFonts w:asciiTheme="majorHAnsi" w:hAnsiTheme="majorHAnsi" w:cstheme="majorHAnsi"/>
          <w:lang w:val="en-US"/>
        </w:rPr>
      </w:pPr>
    </w:p>
    <w:p w14:paraId="739CB8A2" w14:textId="77777777" w:rsidR="00D077CB" w:rsidRPr="0014556C" w:rsidRDefault="00D077CB" w:rsidP="00D077CB">
      <w:pPr>
        <w:jc w:val="both"/>
        <w:rPr>
          <w:rFonts w:asciiTheme="majorHAnsi" w:hAnsiTheme="majorHAnsi" w:cstheme="majorHAnsi"/>
          <w:lang w:val="en-US"/>
        </w:rPr>
      </w:pPr>
      <w:r w:rsidRPr="0014556C">
        <w:rPr>
          <w:rFonts w:asciiTheme="majorHAnsi" w:hAnsiTheme="majorHAnsi" w:cstheme="majorHAnsi"/>
          <w:noProof/>
          <w:lang w:val="en-US"/>
        </w:rPr>
        <w:drawing>
          <wp:inline distT="0" distB="0" distL="0" distR="0" wp14:anchorId="2AB824C4" wp14:editId="7567403A">
            <wp:extent cx="5490845" cy="3093720"/>
            <wp:effectExtent l="12700" t="12700" r="8255" b="17780"/>
            <wp:docPr id="427684948" name="Picture 3" descr="A close-up of a cell screen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684948" name="Picture 3" descr="A close-up of a cell screening&#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90845" cy="3093720"/>
                    </a:xfrm>
                    <a:prstGeom prst="rect">
                      <a:avLst/>
                    </a:prstGeom>
                    <a:ln>
                      <a:solidFill>
                        <a:srgbClr val="0070C0"/>
                      </a:solidFill>
                    </a:ln>
                  </pic:spPr>
                </pic:pic>
              </a:graphicData>
            </a:graphic>
          </wp:inline>
        </w:drawing>
      </w:r>
    </w:p>
    <w:p w14:paraId="5E640D85" w14:textId="77777777" w:rsidR="00D077CB" w:rsidRPr="0014556C" w:rsidRDefault="00D077CB" w:rsidP="00D077CB">
      <w:pPr>
        <w:spacing w:before="100" w:after="200" w:line="276" w:lineRule="auto"/>
        <w:jc w:val="both"/>
        <w:rPr>
          <w:rFonts w:asciiTheme="majorHAnsi" w:hAnsiTheme="majorHAnsi" w:cstheme="majorHAnsi"/>
          <w:b/>
          <w:bCs/>
          <w:i/>
          <w:iCs/>
        </w:rPr>
      </w:pPr>
    </w:p>
    <w:p w14:paraId="3F678C18" w14:textId="3D00478E" w:rsidR="00D077CB" w:rsidRPr="0014556C" w:rsidRDefault="00D077CB" w:rsidP="00D077CB">
      <w:pPr>
        <w:spacing w:before="100" w:after="200" w:line="276" w:lineRule="auto"/>
        <w:jc w:val="both"/>
        <w:rPr>
          <w:rFonts w:asciiTheme="majorHAnsi" w:hAnsiTheme="majorHAnsi" w:cstheme="majorHAnsi"/>
          <w:b/>
          <w:bCs/>
          <w:i/>
          <w:iCs/>
        </w:rPr>
      </w:pPr>
      <w:r w:rsidRPr="0014556C">
        <w:rPr>
          <w:rFonts w:asciiTheme="majorHAnsi" w:hAnsiTheme="majorHAnsi" w:cstheme="majorHAnsi"/>
          <w:b/>
          <w:bCs/>
          <w:i/>
          <w:iCs/>
        </w:rPr>
        <w:t>Figure 2A: First slide used to introduce the concept of high throughput</w:t>
      </w:r>
      <w:r w:rsidR="00DB2F60" w:rsidRPr="0014556C">
        <w:rPr>
          <w:rFonts w:asciiTheme="majorHAnsi" w:hAnsiTheme="majorHAnsi" w:cstheme="majorHAnsi"/>
          <w:b/>
          <w:bCs/>
          <w:i/>
          <w:iCs/>
        </w:rPr>
        <w:t xml:space="preserve"> cellular</w:t>
      </w:r>
      <w:r w:rsidRPr="0014556C">
        <w:rPr>
          <w:rFonts w:asciiTheme="majorHAnsi" w:hAnsiTheme="majorHAnsi" w:cstheme="majorHAnsi"/>
          <w:b/>
          <w:bCs/>
          <w:i/>
          <w:iCs/>
        </w:rPr>
        <w:t xml:space="preserve"> phenotyping platforms and CRISPR screens to the think-tank participants.</w:t>
      </w:r>
    </w:p>
    <w:p w14:paraId="02765A53" w14:textId="77777777" w:rsidR="00D077CB" w:rsidRPr="0014556C" w:rsidRDefault="00D077CB" w:rsidP="00D077CB">
      <w:pPr>
        <w:jc w:val="both"/>
        <w:rPr>
          <w:rFonts w:asciiTheme="majorHAnsi" w:hAnsiTheme="majorHAnsi" w:cstheme="majorHAnsi"/>
          <w:lang w:val="en-US"/>
        </w:rPr>
      </w:pPr>
    </w:p>
    <w:p w14:paraId="1173E152" w14:textId="77777777" w:rsidR="00D077CB" w:rsidRPr="0014556C" w:rsidRDefault="00D077CB" w:rsidP="00D077CB">
      <w:pPr>
        <w:jc w:val="both"/>
        <w:rPr>
          <w:rFonts w:asciiTheme="majorHAnsi" w:hAnsiTheme="majorHAnsi" w:cstheme="majorHAnsi"/>
          <w:lang w:val="en-US"/>
        </w:rPr>
      </w:pPr>
      <w:r w:rsidRPr="0014556C">
        <w:rPr>
          <w:rFonts w:asciiTheme="majorHAnsi" w:hAnsiTheme="majorHAnsi" w:cstheme="majorHAnsi"/>
          <w:noProof/>
          <w:lang w:val="en-US"/>
        </w:rPr>
        <w:lastRenderedPageBreak/>
        <w:drawing>
          <wp:inline distT="0" distB="0" distL="0" distR="0" wp14:anchorId="1517E6C9" wp14:editId="50FD6E48">
            <wp:extent cx="5490845" cy="3110865"/>
            <wp:effectExtent l="12700" t="12700" r="8255" b="13335"/>
            <wp:docPr id="1732056034" name="Picture 4" descr="A screenshot of a cell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056034" name="Picture 4" descr="A screenshot of a cell lin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90845" cy="3110865"/>
                    </a:xfrm>
                    <a:prstGeom prst="rect">
                      <a:avLst/>
                    </a:prstGeom>
                    <a:ln>
                      <a:solidFill>
                        <a:srgbClr val="0070C0"/>
                      </a:solidFill>
                    </a:ln>
                  </pic:spPr>
                </pic:pic>
              </a:graphicData>
            </a:graphic>
          </wp:inline>
        </w:drawing>
      </w:r>
    </w:p>
    <w:p w14:paraId="15121613" w14:textId="77777777" w:rsidR="00340FC9" w:rsidRPr="0014556C" w:rsidRDefault="00340FC9" w:rsidP="00D077CB">
      <w:pPr>
        <w:spacing w:before="100" w:after="200" w:line="276" w:lineRule="auto"/>
        <w:jc w:val="both"/>
        <w:rPr>
          <w:rFonts w:asciiTheme="majorHAnsi" w:hAnsiTheme="majorHAnsi" w:cstheme="majorHAnsi"/>
          <w:b/>
          <w:bCs/>
          <w:i/>
          <w:iCs/>
        </w:rPr>
      </w:pPr>
    </w:p>
    <w:p w14:paraId="2597BEFD" w14:textId="17B4FB1C" w:rsidR="00D077CB" w:rsidRPr="0014556C" w:rsidRDefault="00D077CB" w:rsidP="00D077CB">
      <w:pPr>
        <w:spacing w:before="100" w:after="200" w:line="276" w:lineRule="auto"/>
        <w:jc w:val="both"/>
        <w:rPr>
          <w:rFonts w:asciiTheme="majorHAnsi" w:hAnsiTheme="majorHAnsi" w:cstheme="majorHAnsi"/>
          <w:b/>
          <w:bCs/>
          <w:i/>
          <w:iCs/>
        </w:rPr>
      </w:pPr>
      <w:r w:rsidRPr="0014556C">
        <w:rPr>
          <w:rFonts w:asciiTheme="majorHAnsi" w:hAnsiTheme="majorHAnsi" w:cstheme="majorHAnsi"/>
          <w:b/>
          <w:bCs/>
          <w:i/>
          <w:iCs/>
        </w:rPr>
        <w:t xml:space="preserve">Figure 2B: Second slide used to introduce the concept of high throughput </w:t>
      </w:r>
      <w:r w:rsidR="00DB2F60" w:rsidRPr="0014556C">
        <w:rPr>
          <w:rFonts w:asciiTheme="majorHAnsi" w:hAnsiTheme="majorHAnsi" w:cstheme="majorHAnsi"/>
          <w:b/>
          <w:bCs/>
          <w:i/>
          <w:iCs/>
        </w:rPr>
        <w:t xml:space="preserve">cellular </w:t>
      </w:r>
      <w:r w:rsidRPr="0014556C">
        <w:rPr>
          <w:rFonts w:asciiTheme="majorHAnsi" w:hAnsiTheme="majorHAnsi" w:cstheme="majorHAnsi"/>
          <w:b/>
          <w:bCs/>
          <w:i/>
          <w:iCs/>
        </w:rPr>
        <w:t>phenotyping platforms and CRISPR screens to the think-tank participants.</w:t>
      </w:r>
    </w:p>
    <w:p w14:paraId="4986C33B" w14:textId="236C77CF" w:rsidR="00D077CB" w:rsidRPr="0014556C" w:rsidRDefault="00D077CB" w:rsidP="00D077CB">
      <w:pPr>
        <w:jc w:val="both"/>
        <w:rPr>
          <w:rFonts w:asciiTheme="majorHAnsi" w:hAnsiTheme="majorHAnsi" w:cstheme="majorHAnsi"/>
        </w:rPr>
      </w:pPr>
      <w:r w:rsidRPr="0014556C">
        <w:rPr>
          <w:rFonts w:asciiTheme="majorHAnsi" w:hAnsiTheme="majorHAnsi" w:cstheme="majorHAnsi"/>
        </w:rPr>
        <w:t xml:space="preserve">A facilitated discussion for 45 minutes followed the introduction. The discussion focused on the opportunities, priorities and barriers associated with high throughput </w:t>
      </w:r>
      <w:r w:rsidR="00DB2F60" w:rsidRPr="0014556C">
        <w:rPr>
          <w:rFonts w:asciiTheme="majorHAnsi" w:hAnsiTheme="majorHAnsi" w:cstheme="majorHAnsi"/>
        </w:rPr>
        <w:t xml:space="preserve">cellular </w:t>
      </w:r>
      <w:r w:rsidRPr="0014556C">
        <w:rPr>
          <w:rFonts w:asciiTheme="majorHAnsi" w:hAnsiTheme="majorHAnsi" w:cstheme="majorHAnsi"/>
        </w:rPr>
        <w:t>phenotyping platforms</w:t>
      </w:r>
      <w:r w:rsidR="00DB2F60" w:rsidRPr="0014556C">
        <w:rPr>
          <w:rFonts w:asciiTheme="majorHAnsi" w:hAnsiTheme="majorHAnsi" w:cstheme="majorHAnsi"/>
        </w:rPr>
        <w:t>,</w:t>
      </w:r>
      <w:r w:rsidRPr="0014556C">
        <w:rPr>
          <w:rFonts w:asciiTheme="majorHAnsi" w:hAnsiTheme="majorHAnsi" w:cstheme="majorHAnsi"/>
        </w:rPr>
        <w:t xml:space="preserve"> CRISPR screens</w:t>
      </w:r>
      <w:r w:rsidR="00DB2F60" w:rsidRPr="0014556C">
        <w:rPr>
          <w:rFonts w:asciiTheme="majorHAnsi" w:hAnsiTheme="majorHAnsi" w:cstheme="majorHAnsi"/>
        </w:rPr>
        <w:t xml:space="preserve"> and MPRA</w:t>
      </w:r>
      <w:r w:rsidRPr="0014556C">
        <w:rPr>
          <w:rFonts w:asciiTheme="majorHAnsi" w:hAnsiTheme="majorHAnsi" w:cstheme="majorHAnsi"/>
        </w:rPr>
        <w:t xml:space="preserve">. Google </w:t>
      </w:r>
      <w:proofErr w:type="spellStart"/>
      <w:r w:rsidRPr="0014556C">
        <w:rPr>
          <w:rFonts w:asciiTheme="majorHAnsi" w:hAnsiTheme="majorHAnsi" w:cstheme="majorHAnsi"/>
        </w:rPr>
        <w:t>Jamboard</w:t>
      </w:r>
      <w:proofErr w:type="spellEnd"/>
      <w:r w:rsidRPr="0014556C">
        <w:rPr>
          <w:rFonts w:asciiTheme="majorHAnsi" w:hAnsiTheme="majorHAnsi" w:cstheme="majorHAnsi"/>
        </w:rPr>
        <w:t xml:space="preserve"> was used, and participants added sticky notes as comments, which are shown in Figure 3.</w:t>
      </w:r>
    </w:p>
    <w:p w14:paraId="51FC87AC" w14:textId="77777777" w:rsidR="00D077CB" w:rsidRPr="0014556C" w:rsidRDefault="00D077CB" w:rsidP="00D077CB">
      <w:pPr>
        <w:jc w:val="both"/>
        <w:rPr>
          <w:rFonts w:asciiTheme="majorHAnsi" w:hAnsiTheme="majorHAnsi" w:cstheme="majorHAnsi"/>
        </w:rPr>
      </w:pPr>
    </w:p>
    <w:p w14:paraId="5FEDB822" w14:textId="77777777" w:rsidR="00D077CB" w:rsidRPr="0014556C" w:rsidRDefault="00D077CB" w:rsidP="00D077CB">
      <w:pPr>
        <w:jc w:val="both"/>
        <w:rPr>
          <w:rFonts w:asciiTheme="majorHAnsi" w:hAnsiTheme="majorHAnsi" w:cstheme="majorHAnsi"/>
        </w:rPr>
      </w:pPr>
      <w:r w:rsidRPr="0014556C">
        <w:rPr>
          <w:rFonts w:asciiTheme="majorHAnsi" w:hAnsiTheme="majorHAnsi" w:cstheme="majorHAnsi"/>
          <w:noProof/>
        </w:rPr>
        <w:drawing>
          <wp:inline distT="0" distB="0" distL="0" distR="0" wp14:anchorId="257CA204" wp14:editId="39602F79">
            <wp:extent cx="5490845" cy="3094990"/>
            <wp:effectExtent l="12700" t="12700" r="8255" b="16510"/>
            <wp:docPr id="1326918275" name="Content Placeholder 4" descr="A group of colorful squares with text&#10;&#10;Description automatically generated with medium confidence">
              <a:extLst xmlns:a="http://schemas.openxmlformats.org/drawingml/2006/main">
                <a:ext uri="{FF2B5EF4-FFF2-40B4-BE49-F238E27FC236}">
                  <a16:creationId xmlns:a16="http://schemas.microsoft.com/office/drawing/2014/main" id="{B30F17E1-D768-9A05-9DD2-53DEC70C683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group of colorful squares with text&#10;&#10;Description automatically generated with medium confidence">
                      <a:extLst>
                        <a:ext uri="{FF2B5EF4-FFF2-40B4-BE49-F238E27FC236}">
                          <a16:creationId xmlns:a16="http://schemas.microsoft.com/office/drawing/2014/main" id="{B30F17E1-D768-9A05-9DD2-53DEC70C6834}"/>
                        </a:ext>
                      </a:extLst>
                    </pic:cNvPr>
                    <pic:cNvPicPr>
                      <a:picLocks noGrp="1" noChangeAspect="1"/>
                    </pic:cNvPicPr>
                  </pic:nvPicPr>
                  <pic:blipFill>
                    <a:blip r:embed="rId17"/>
                    <a:stretch>
                      <a:fillRect/>
                    </a:stretch>
                  </pic:blipFill>
                  <pic:spPr>
                    <a:xfrm>
                      <a:off x="0" y="0"/>
                      <a:ext cx="5490845" cy="3094990"/>
                    </a:xfrm>
                    <a:prstGeom prst="rect">
                      <a:avLst/>
                    </a:prstGeom>
                    <a:ln>
                      <a:solidFill>
                        <a:schemeClr val="tx1"/>
                      </a:solidFill>
                    </a:ln>
                  </pic:spPr>
                </pic:pic>
              </a:graphicData>
            </a:graphic>
          </wp:inline>
        </w:drawing>
      </w:r>
    </w:p>
    <w:p w14:paraId="3DBDEAB6" w14:textId="77777777" w:rsidR="00D077CB" w:rsidRPr="0014556C" w:rsidRDefault="00D077CB" w:rsidP="00D077CB">
      <w:pPr>
        <w:jc w:val="both"/>
        <w:rPr>
          <w:rFonts w:asciiTheme="majorHAnsi" w:hAnsiTheme="majorHAnsi" w:cstheme="majorHAnsi"/>
          <w:b/>
          <w:bCs/>
          <w:i/>
          <w:iCs/>
        </w:rPr>
      </w:pPr>
    </w:p>
    <w:p w14:paraId="39E21359" w14:textId="2B5AA440" w:rsidR="00D077CB" w:rsidRPr="0014556C" w:rsidRDefault="00D077CB" w:rsidP="00D077CB">
      <w:pPr>
        <w:jc w:val="both"/>
        <w:rPr>
          <w:rFonts w:asciiTheme="majorHAnsi" w:hAnsiTheme="majorHAnsi" w:cstheme="majorHAnsi"/>
          <w:b/>
          <w:bCs/>
          <w:i/>
          <w:iCs/>
        </w:rPr>
      </w:pPr>
      <w:r w:rsidRPr="0014556C">
        <w:rPr>
          <w:rFonts w:asciiTheme="majorHAnsi" w:hAnsiTheme="majorHAnsi" w:cstheme="majorHAnsi"/>
          <w:b/>
          <w:bCs/>
          <w:i/>
          <w:iCs/>
        </w:rPr>
        <w:t xml:space="preserve">Figure 3: The Google </w:t>
      </w:r>
      <w:proofErr w:type="spellStart"/>
      <w:r w:rsidRPr="0014556C">
        <w:rPr>
          <w:rFonts w:asciiTheme="majorHAnsi" w:hAnsiTheme="majorHAnsi" w:cstheme="majorHAnsi"/>
          <w:b/>
          <w:bCs/>
          <w:i/>
          <w:iCs/>
        </w:rPr>
        <w:t>Jamboard</w:t>
      </w:r>
      <w:proofErr w:type="spellEnd"/>
      <w:r w:rsidRPr="0014556C">
        <w:rPr>
          <w:rFonts w:asciiTheme="majorHAnsi" w:hAnsiTheme="majorHAnsi" w:cstheme="majorHAnsi"/>
          <w:b/>
          <w:bCs/>
          <w:i/>
          <w:iCs/>
        </w:rPr>
        <w:t xml:space="preserve"> created by participants in the think-tank for the HTP and functional assays topic for D5.1.</w:t>
      </w:r>
    </w:p>
    <w:p w14:paraId="5A9B6E8E" w14:textId="53AD3A41" w:rsidR="00D077CB" w:rsidRPr="0014556C" w:rsidRDefault="00D077CB" w:rsidP="00D077CB">
      <w:pPr>
        <w:jc w:val="both"/>
        <w:rPr>
          <w:rFonts w:asciiTheme="majorHAnsi" w:hAnsiTheme="majorHAnsi" w:cstheme="majorHAnsi"/>
        </w:rPr>
      </w:pPr>
      <w:r w:rsidRPr="0014556C">
        <w:rPr>
          <w:rFonts w:asciiTheme="majorHAnsi" w:hAnsiTheme="majorHAnsi" w:cstheme="majorHAnsi"/>
        </w:rPr>
        <w:lastRenderedPageBreak/>
        <w:t>During the discussion the following points were raised:</w:t>
      </w:r>
    </w:p>
    <w:p w14:paraId="17ED35D9" w14:textId="77777777" w:rsidR="00D077CB" w:rsidRPr="0014556C" w:rsidRDefault="00D077CB" w:rsidP="00D077CB">
      <w:pPr>
        <w:jc w:val="both"/>
        <w:rPr>
          <w:rFonts w:asciiTheme="majorHAnsi" w:hAnsiTheme="majorHAnsi" w:cstheme="majorHAnsi"/>
        </w:rPr>
      </w:pPr>
    </w:p>
    <w:p w14:paraId="02378DC4" w14:textId="77777777" w:rsidR="00D077CB" w:rsidRPr="0014556C" w:rsidRDefault="00D077CB" w:rsidP="004D455C">
      <w:pPr>
        <w:pStyle w:val="Heading3"/>
      </w:pPr>
      <w:bookmarkStart w:id="6" w:name="_Toc170418866"/>
      <w:r w:rsidRPr="0014556C">
        <w:t>Opportunities</w:t>
      </w:r>
      <w:bookmarkEnd w:id="6"/>
      <w:r w:rsidRPr="0014556C">
        <w:t xml:space="preserve"> </w:t>
      </w:r>
    </w:p>
    <w:p w14:paraId="28465A11"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Understanding host factors that underpin natural resistance and susceptibility to pathogens e.g. bacterial and viral infections.</w:t>
      </w:r>
    </w:p>
    <w:p w14:paraId="2DFA0B0E"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Identification of species-specific restriction factors that contribute to barriers against zoonotic infection.</w:t>
      </w:r>
    </w:p>
    <w:p w14:paraId="6C86F080"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 xml:space="preserve">Development of a collection of </w:t>
      </w:r>
      <w:proofErr w:type="gramStart"/>
      <w:r w:rsidRPr="0014556C">
        <w:rPr>
          <w:rFonts w:asciiTheme="majorHAnsi" w:hAnsiTheme="majorHAnsi" w:cstheme="majorHAnsi"/>
        </w:rPr>
        <w:t>knock</w:t>
      </w:r>
      <w:proofErr w:type="gramEnd"/>
      <w:r w:rsidRPr="0014556C">
        <w:rPr>
          <w:rFonts w:asciiTheme="majorHAnsi" w:hAnsiTheme="majorHAnsi" w:cstheme="majorHAnsi"/>
        </w:rPr>
        <w:t>-out embryonic stem cell (ESC) lines for farmed animals.</w:t>
      </w:r>
    </w:p>
    <w:p w14:paraId="0FC5453B" w14:textId="565C8666"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Development of Interferon Stimulated Genes (ISG) arrayed assays for farmed animal species</w:t>
      </w:r>
      <w:r w:rsidR="005E5951" w:rsidRPr="0014556C">
        <w:rPr>
          <w:rFonts w:asciiTheme="majorHAnsi" w:hAnsiTheme="majorHAnsi" w:cstheme="majorHAnsi"/>
        </w:rPr>
        <w:t xml:space="preserve"> e.g. </w:t>
      </w:r>
      <w:r w:rsidR="005E5951"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{"citationID":"XoYtdj6N","properties":{"formattedCitation":"(11)","plainCitation":"(11)","noteIndex":0},"citationItems":[{"id":1488,"uris":["http://zotero.org/users/13766804/items/F6USR34A"],"itemData":{"id":1488,"type":"article-journal","abstract":"Diseases caused by emerging swine viruses had a great economic impact, constituting a new challenge for researchers and practicing veterinarians. Innate immune control of viral pathogen invasion is mediated by interferons (IFNs), resulting in transcriptional elevation of hundreds of IFN-stimulated genes (ISGs). However, the ISG family is vast and species-specific, and despite remarkable advancements in uncovering the breadth of IFN-induced gene expression in mouse and human, it is less characterized with respect to the repertoire of porcine ISGs and their functional annotation. Herein, with the application of RNA-sequencing (RNA-Seq) gene profiling, the breadth of IFN-induced gene expression in the context of type I IFN stimulation was explored by using IBRS-2 cell, a commonly used high-efficient cultivation system for porcine picornaviruses. By establishing inclusion criteria, a total of 359 ISGs were selected. Aiming to identify key effectors mediating type I IFN inhibition of swine viruses, a CRISPR/Cas9 knockout library of 1908 sgRNAs targeting 5’ constitutive exons of 359 ISGs with an average of 5 to 6 sgRNAs per gene was constructed. Using VSV-eGFP (vesicular stomatitis virus, fused with GFP) as a model virus, a subset of highest-ranking candidates were identified, including previously validated anti-VSV genes IRF9, IFITM3, LOC100519082 and REC8, as well as several novel hits. This approach attains a high level of feasibility and reliability, and a high rate of hit identification, providing a forward-looking platform to systematically profile the effectors of type I IFN antiviral response against porcine viruses.","container-title":"Frontiers in Immunology","ISSN":"1664-3224","journalAbbreviation":"Frontiers in Immunology","title":"Establishment of a CRISPR/Cas9 knockout library for screening type I interferon-inducible antiviral effectors in pig cells","URL":"https://www.frontiersin.org/journals/immunology/articles/10.3389/fimmu.2022.1016545","volume":"13","author":[{"family":"Dang","given":"Wen"},{"family":"Li","given":"Tao"},{"family":"Xu","given":"Fan"},{"family":"Wang","given":"Yannan"},{"family":"Yang","given":"Fan"},{"family":"Zheng","given":"Haixue"}],"issued":{"date-parts":[["2022"]]}}}],"schema":"https://github.com/citation-style-language/schema/raw/master/csl-citation.json"} </w:instrText>
      </w:r>
      <w:r w:rsidR="005E5951" w:rsidRPr="0014556C">
        <w:rPr>
          <w:rFonts w:asciiTheme="majorHAnsi" w:hAnsiTheme="majorHAnsi" w:cstheme="majorHAnsi"/>
        </w:rPr>
        <w:fldChar w:fldCharType="separate"/>
      </w:r>
      <w:r w:rsidR="0014556C" w:rsidRPr="0014556C">
        <w:rPr>
          <w:rFonts w:asciiTheme="majorHAnsi" w:hAnsiTheme="majorHAnsi" w:cstheme="majorHAnsi"/>
          <w:noProof/>
        </w:rPr>
        <w:t>(11)</w:t>
      </w:r>
      <w:r w:rsidR="005E5951" w:rsidRPr="0014556C">
        <w:rPr>
          <w:rFonts w:asciiTheme="majorHAnsi" w:hAnsiTheme="majorHAnsi" w:cstheme="majorHAnsi"/>
        </w:rPr>
        <w:fldChar w:fldCharType="end"/>
      </w:r>
      <w:r w:rsidRPr="0014556C">
        <w:rPr>
          <w:rFonts w:asciiTheme="majorHAnsi" w:hAnsiTheme="majorHAnsi" w:cstheme="majorHAnsi"/>
        </w:rPr>
        <w:t>.</w:t>
      </w:r>
    </w:p>
    <w:p w14:paraId="1DFD9D1C"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Development of CRISPR activation and inactivation screens.</w:t>
      </w:r>
    </w:p>
    <w:p w14:paraId="25810940"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A route to application of FAANG/</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data.</w:t>
      </w:r>
    </w:p>
    <w:p w14:paraId="624C9A10" w14:textId="77777777" w:rsidR="00D077CB" w:rsidRPr="0014556C" w:rsidRDefault="00D077CB"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 xml:space="preserve">Validation </w:t>
      </w:r>
      <w:r w:rsidRPr="0014556C">
        <w:rPr>
          <w:rFonts w:asciiTheme="majorHAnsi" w:hAnsiTheme="majorHAnsi" w:cstheme="majorHAnsi"/>
          <w:i/>
          <w:iCs/>
        </w:rPr>
        <w:t>in silico</w:t>
      </w:r>
      <w:r w:rsidRPr="0014556C">
        <w:rPr>
          <w:rFonts w:asciiTheme="majorHAnsi" w:hAnsiTheme="majorHAnsi" w:cstheme="majorHAnsi"/>
        </w:rPr>
        <w:t xml:space="preserve"> of functionally enriched genomic regions/variants from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projects.</w:t>
      </w:r>
    </w:p>
    <w:p w14:paraId="0B728B73" w14:textId="69BAA0BE" w:rsidR="00256858" w:rsidRPr="0014556C" w:rsidRDefault="00256858"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Cas9 expressing animals from which to make new cellular models.</w:t>
      </w:r>
    </w:p>
    <w:p w14:paraId="62F3221A" w14:textId="400F334F" w:rsidR="005E5951" w:rsidRPr="0014556C" w:rsidRDefault="005E5951" w:rsidP="00D077CB">
      <w:pPr>
        <w:pStyle w:val="ListParagraph"/>
        <w:numPr>
          <w:ilvl w:val="0"/>
          <w:numId w:val="43"/>
        </w:numPr>
        <w:jc w:val="both"/>
        <w:rPr>
          <w:rFonts w:asciiTheme="majorHAnsi" w:hAnsiTheme="majorHAnsi" w:cstheme="majorHAnsi"/>
        </w:rPr>
      </w:pPr>
      <w:r w:rsidRPr="0014556C">
        <w:rPr>
          <w:rFonts w:asciiTheme="majorHAnsi" w:hAnsiTheme="majorHAnsi" w:cstheme="majorHAnsi"/>
        </w:rPr>
        <w:t xml:space="preserve">Screening for off-target effects e.g.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{"citationID":"DjET4MwR","properties":{"formattedCitation":"(12)","plainCitation":"(12)","noteIndex":0},"citationItems":[{"id":1486,"uris":["http://zotero.org/users/13766804/items/UEQHAY5M"],"itemData":{"id":1486,"type":"article-journal","abstract":"CRISPR-Cas technology has transformed our ability to introduce targeted modifications, allowing unconventional animal models such as pigs to model human diseases and improve its value for food production. The main concern with using the technology is the possibility of introducing unwanted modifications in the genome. In this study, we illustrate a pipeline to comprehensively identify off-targeting events on a global scale in the genome of three different gene-edited pig models. Whole genome sequencing paired with an off-targeting prediction software tool filtered off-targeting events amongst natural variations present in gene-edited pigs. This pipeline confirmed two known off-targeting events in IGH knockout pigs, AR and RBFOX1, and identified other presumably off-targeted loci. Independent validation of the off-targeting events using other gene-edited DNA confirmed two novel off-targeting events in RAG2/IL2RG knockout pig models. This unique strategy offers a novel tool to detect off-targeting events in genetically heterogeneous species after genome editing.","container-title":"The CRISPR Journal","DOI":"10.1089/crispr.2024.0012","ISSN":"2573-1599","issue":"3","note":"publisher: Mary Ann Liebert, Inc., publishers","page":"141-149","title":"Novel off-Targeting Events Identified after Genome Wide Analysis of CRISPR-Cas Edited Pigs","volume":"7","author":[{"family":"Redel","given":"Bethany K."},{"family":"Yoon","given":"Junchul"},{"family":"Reese","given":"Emily"},{"family":"An","given":"Hong"},{"family":"Uh","given":"Kyungjun"},{"family":"Chen","given":"Paula R."},{"family":"Prather","given":"Randall S."},{"family":"Lee","given":"Kiho"}],"issued":{"date-parts":[["2024",6,1]]}}}],"schema":"https://github.com/citation-style-language/schema/raw/master/csl-citation.json"}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(12)</w:t>
      </w:r>
      <w:r w:rsidRPr="0014556C">
        <w:rPr>
          <w:rFonts w:asciiTheme="majorHAnsi" w:hAnsiTheme="majorHAnsi" w:cstheme="majorHAnsi"/>
        </w:rPr>
        <w:fldChar w:fldCharType="end"/>
      </w:r>
      <w:r w:rsidRPr="0014556C">
        <w:rPr>
          <w:rFonts w:asciiTheme="majorHAnsi" w:hAnsiTheme="majorHAnsi" w:cstheme="majorHAnsi"/>
        </w:rPr>
        <w:t>.</w:t>
      </w:r>
    </w:p>
    <w:p w14:paraId="2FBF5266" w14:textId="77777777" w:rsidR="00D077CB" w:rsidRPr="0014556C" w:rsidRDefault="00D077CB" w:rsidP="00D077CB">
      <w:pPr>
        <w:pStyle w:val="ListParagraph"/>
        <w:jc w:val="both"/>
        <w:rPr>
          <w:rFonts w:asciiTheme="majorHAnsi" w:hAnsiTheme="majorHAnsi" w:cstheme="majorHAnsi"/>
        </w:rPr>
      </w:pPr>
    </w:p>
    <w:p w14:paraId="59C8CCD3" w14:textId="77777777" w:rsidR="00D077CB" w:rsidRPr="0014556C" w:rsidRDefault="00D077CB" w:rsidP="004D455C">
      <w:pPr>
        <w:pStyle w:val="Heading3"/>
      </w:pPr>
      <w:bookmarkStart w:id="7" w:name="_Toc170418867"/>
      <w:r w:rsidRPr="0014556C">
        <w:t>Priorities</w:t>
      </w:r>
      <w:bookmarkEnd w:id="7"/>
    </w:p>
    <w:p w14:paraId="07669638"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Development of new cell lines for farmed animal species.</w:t>
      </w:r>
    </w:p>
    <w:p w14:paraId="059D947A"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A collection of cellular models (e.g. cell lines and organoids) derived from genetically different animals.</w:t>
      </w:r>
    </w:p>
    <w:p w14:paraId="0955AD4B"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A collection of CRISPR genome wide screening libraries focused on immunity, reproduction and efficiency across multiple farmed animal species.</w:t>
      </w:r>
    </w:p>
    <w:p w14:paraId="36E5C6BA"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Expanding capacity for HTP from humans to farmed animals.</w:t>
      </w:r>
    </w:p>
    <w:p w14:paraId="2805950E"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Use of the technology for gene therapy and drug discovery.</w:t>
      </w:r>
    </w:p>
    <w:p w14:paraId="7933F87F" w14:textId="77777777" w:rsidR="00D077CB" w:rsidRPr="0014556C" w:rsidRDefault="00D077CB" w:rsidP="00D077CB">
      <w:pPr>
        <w:pStyle w:val="ListParagraph"/>
        <w:numPr>
          <w:ilvl w:val="0"/>
          <w:numId w:val="45"/>
        </w:numPr>
        <w:jc w:val="both"/>
        <w:rPr>
          <w:rFonts w:asciiTheme="majorHAnsi" w:hAnsiTheme="majorHAnsi" w:cstheme="majorHAnsi"/>
        </w:rPr>
      </w:pPr>
      <w:r w:rsidRPr="0014556C">
        <w:rPr>
          <w:rFonts w:asciiTheme="majorHAnsi" w:hAnsiTheme="majorHAnsi" w:cstheme="majorHAnsi"/>
        </w:rPr>
        <w:t>Primary cells from resistant and susceptible animals (e.g. birds resistant and susceptible to avian influenza) for comparative screens.</w:t>
      </w:r>
    </w:p>
    <w:p w14:paraId="59D12C1A" w14:textId="77777777" w:rsidR="00D077CB" w:rsidRPr="0014556C" w:rsidRDefault="00D077CB" w:rsidP="00D077CB">
      <w:pPr>
        <w:pStyle w:val="ListParagraph"/>
        <w:jc w:val="both"/>
        <w:rPr>
          <w:rFonts w:asciiTheme="majorHAnsi" w:hAnsiTheme="majorHAnsi" w:cstheme="majorHAnsi"/>
        </w:rPr>
      </w:pPr>
    </w:p>
    <w:p w14:paraId="4895C6F9" w14:textId="77777777" w:rsidR="00D077CB" w:rsidRPr="0014556C" w:rsidRDefault="00D077CB" w:rsidP="004D455C">
      <w:pPr>
        <w:pStyle w:val="Heading3"/>
      </w:pPr>
      <w:bookmarkStart w:id="8" w:name="_Toc170418868"/>
      <w:r w:rsidRPr="0014556C">
        <w:t>Barriers</w:t>
      </w:r>
      <w:bookmarkEnd w:id="8"/>
    </w:p>
    <w:p w14:paraId="34FF1D04" w14:textId="2864F718"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Work on non-mammalian species</w:t>
      </w:r>
      <w:r w:rsidR="00DB2F60" w:rsidRPr="0014556C">
        <w:rPr>
          <w:rFonts w:asciiTheme="majorHAnsi" w:hAnsiTheme="majorHAnsi" w:cstheme="majorHAnsi"/>
        </w:rPr>
        <w:t>,</w:t>
      </w:r>
      <w:r w:rsidRPr="0014556C">
        <w:rPr>
          <w:rFonts w:asciiTheme="majorHAnsi" w:hAnsiTheme="majorHAnsi" w:cstheme="majorHAnsi"/>
        </w:rPr>
        <w:t xml:space="preserve"> e.g. avians</w:t>
      </w:r>
      <w:r w:rsidR="00DB2F60" w:rsidRPr="0014556C">
        <w:rPr>
          <w:rFonts w:asciiTheme="majorHAnsi" w:hAnsiTheme="majorHAnsi" w:cstheme="majorHAnsi"/>
        </w:rPr>
        <w:t>,</w:t>
      </w:r>
      <w:r w:rsidRPr="0014556C">
        <w:rPr>
          <w:rFonts w:asciiTheme="majorHAnsi" w:hAnsiTheme="majorHAnsi" w:cstheme="majorHAnsi"/>
        </w:rPr>
        <w:t xml:space="preserve"> is challenging.</w:t>
      </w:r>
    </w:p>
    <w:p w14:paraId="3A090522" w14:textId="77777777"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 xml:space="preserve">CRISPR related patent issues can be restrictive particularly for industry involvement. </w:t>
      </w:r>
    </w:p>
    <w:p w14:paraId="0716CBA9" w14:textId="77777777"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Regulatory frameworks for the implementing findings are still limiting.</w:t>
      </w:r>
    </w:p>
    <w:p w14:paraId="108FD1DD" w14:textId="77777777"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Challenge experiments require category 3 laboratories which are limited in capacity across Europe (many are saturated with work).</w:t>
      </w:r>
    </w:p>
    <w:p w14:paraId="7872B8FD" w14:textId="77777777"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Poor genome annotation, for some species, particularly of immune genes, which are difficult to annotate accurately.</w:t>
      </w:r>
    </w:p>
    <w:p w14:paraId="642FBA78" w14:textId="77777777" w:rsidR="00D077CB" w:rsidRPr="0014556C" w:rsidRDefault="00D077CB"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Lack of accessibility to genome annotation information, more training required.</w:t>
      </w:r>
    </w:p>
    <w:p w14:paraId="42DD0984" w14:textId="0684440F" w:rsidR="00256858" w:rsidRPr="0014556C" w:rsidRDefault="00256858" w:rsidP="00D077CB">
      <w:pPr>
        <w:pStyle w:val="ListParagraph"/>
        <w:numPr>
          <w:ilvl w:val="0"/>
          <w:numId w:val="46"/>
        </w:numPr>
        <w:jc w:val="both"/>
        <w:rPr>
          <w:rFonts w:asciiTheme="majorHAnsi" w:hAnsiTheme="majorHAnsi" w:cstheme="majorHAnsi"/>
        </w:rPr>
      </w:pPr>
      <w:r w:rsidRPr="0014556C">
        <w:rPr>
          <w:rFonts w:asciiTheme="majorHAnsi" w:hAnsiTheme="majorHAnsi" w:cstheme="majorHAnsi"/>
        </w:rPr>
        <w:t>Lack of suitable well characterised cell lines and cellular systems e.g. organoids.</w:t>
      </w:r>
    </w:p>
    <w:p w14:paraId="1306BFA3" w14:textId="77777777" w:rsidR="007908CD" w:rsidRPr="0014556C" w:rsidRDefault="00256858" w:rsidP="007908CD">
      <w:pPr>
        <w:pStyle w:val="ListParagraph"/>
        <w:numPr>
          <w:ilvl w:val="0"/>
          <w:numId w:val="46"/>
        </w:numPr>
        <w:jc w:val="both"/>
        <w:rPr>
          <w:rFonts w:asciiTheme="majorHAnsi" w:hAnsiTheme="majorHAnsi" w:cstheme="majorHAnsi"/>
        </w:rPr>
      </w:pPr>
      <w:r w:rsidRPr="0014556C">
        <w:rPr>
          <w:rFonts w:asciiTheme="majorHAnsi" w:hAnsiTheme="majorHAnsi" w:cstheme="majorHAnsi"/>
        </w:rPr>
        <w:t>Capacity for performing high-throughput cellular phenotyping in Europe is limited and focused on human research.</w:t>
      </w:r>
    </w:p>
    <w:p w14:paraId="1879DB4E" w14:textId="4D175438" w:rsidR="000E55DE" w:rsidRPr="0014556C" w:rsidRDefault="000E55DE" w:rsidP="007908CD">
      <w:pPr>
        <w:pStyle w:val="ListParagraph"/>
        <w:numPr>
          <w:ilvl w:val="0"/>
          <w:numId w:val="46"/>
        </w:numPr>
        <w:jc w:val="both"/>
        <w:rPr>
          <w:rFonts w:asciiTheme="majorHAnsi" w:hAnsiTheme="majorHAnsi" w:cstheme="majorHAnsi"/>
        </w:rPr>
      </w:pPr>
      <w:r w:rsidRPr="0014556C">
        <w:rPr>
          <w:rFonts w:asciiTheme="majorHAnsi" w:hAnsiTheme="majorHAnsi" w:cstheme="majorHAnsi"/>
        </w:rPr>
        <w:t>Lack of training and expertise in sgRNA design.</w:t>
      </w:r>
    </w:p>
    <w:p w14:paraId="2E4F12C2" w14:textId="77777777" w:rsidR="00437B6C" w:rsidRPr="0014556C" w:rsidRDefault="00437B6C" w:rsidP="00437B6C">
      <w:pPr>
        <w:jc w:val="both"/>
        <w:rPr>
          <w:rFonts w:asciiTheme="majorHAnsi" w:hAnsiTheme="majorHAnsi" w:cstheme="majorHAnsi"/>
        </w:rPr>
      </w:pPr>
    </w:p>
    <w:p w14:paraId="1611717A" w14:textId="77777777" w:rsidR="00D077CB" w:rsidRPr="0014556C" w:rsidRDefault="00D077CB" w:rsidP="00D077CB">
      <w:pPr>
        <w:pStyle w:val="ListParagraph"/>
        <w:jc w:val="both"/>
        <w:rPr>
          <w:rFonts w:asciiTheme="majorHAnsi" w:hAnsiTheme="majorHAnsi" w:cstheme="majorHAnsi"/>
        </w:rPr>
      </w:pPr>
    </w:p>
    <w:p w14:paraId="363B0DAB" w14:textId="77777777" w:rsidR="00D077CB" w:rsidRPr="0014556C" w:rsidRDefault="00D077CB" w:rsidP="00194EB9">
      <w:pPr>
        <w:pStyle w:val="Heading2"/>
        <w:jc w:val="both"/>
        <w:rPr>
          <w:rStyle w:val="break-words"/>
          <w:rFonts w:asciiTheme="majorHAnsi" w:hAnsiTheme="majorHAnsi" w:cstheme="majorHAnsi"/>
        </w:rPr>
      </w:pPr>
      <w:bookmarkStart w:id="9" w:name="_Toc170418869"/>
      <w:proofErr w:type="spellStart"/>
      <w:r w:rsidRPr="0014556C">
        <w:rPr>
          <w:rFonts w:asciiTheme="majorHAnsi" w:hAnsiTheme="majorHAnsi" w:cstheme="majorHAnsi"/>
        </w:rPr>
        <w:lastRenderedPageBreak/>
        <w:t>EuroFAANG</w:t>
      </w:r>
      <w:proofErr w:type="spellEnd"/>
      <w:r w:rsidRPr="0014556C">
        <w:rPr>
          <w:rFonts w:asciiTheme="majorHAnsi" w:hAnsiTheme="majorHAnsi" w:cstheme="majorHAnsi"/>
        </w:rPr>
        <w:t xml:space="preserve"> RI WP5 Webinar on “</w:t>
      </w:r>
      <w:r w:rsidRPr="0014556C">
        <w:rPr>
          <w:rStyle w:val="break-words"/>
          <w:rFonts w:asciiTheme="majorHAnsi" w:hAnsiTheme="majorHAnsi" w:cstheme="majorHAnsi"/>
        </w:rPr>
        <w:t>The Power of G2P Research in</w:t>
      </w:r>
      <w:r w:rsidRPr="0014556C">
        <w:rPr>
          <w:rStyle w:val="apple-converted-space"/>
          <w:rFonts w:asciiTheme="majorHAnsi" w:hAnsiTheme="majorHAnsi" w:cstheme="majorHAnsi"/>
        </w:rPr>
        <w:t> </w:t>
      </w:r>
      <w:r w:rsidRPr="0014556C">
        <w:rPr>
          <w:rStyle w:val="break-words"/>
          <w:rFonts w:asciiTheme="majorHAnsi" w:hAnsiTheme="majorHAnsi" w:cstheme="majorHAnsi"/>
        </w:rPr>
        <w:t>Farmed Animals</w:t>
      </w:r>
      <w:r w:rsidRPr="0014556C">
        <w:rPr>
          <w:rStyle w:val="apple-converted-space"/>
          <w:rFonts w:asciiTheme="majorHAnsi" w:hAnsiTheme="majorHAnsi" w:cstheme="majorHAnsi"/>
        </w:rPr>
        <w:t> </w:t>
      </w:r>
      <w:r w:rsidRPr="0014556C">
        <w:rPr>
          <w:rStyle w:val="break-words"/>
          <w:rFonts w:asciiTheme="majorHAnsi" w:hAnsiTheme="majorHAnsi" w:cstheme="majorHAnsi"/>
        </w:rPr>
        <w:t>through High-Throughput CRISPR Screens”</w:t>
      </w:r>
      <w:bookmarkEnd w:id="9"/>
    </w:p>
    <w:p w14:paraId="12882361" w14:textId="77777777" w:rsidR="00D077CB" w:rsidRPr="0014556C" w:rsidRDefault="00D077CB" w:rsidP="00D077CB"/>
    <w:p w14:paraId="0BC1F3F1" w14:textId="232CD73C" w:rsidR="00D077CB" w:rsidRPr="0014556C" w:rsidRDefault="00D077CB" w:rsidP="00D077CB">
      <w:pPr>
        <w:jc w:val="both"/>
        <w:rPr>
          <w:rFonts w:asciiTheme="majorHAnsi" w:hAnsiTheme="majorHAnsi" w:cstheme="majorHAnsi"/>
        </w:rPr>
      </w:pPr>
      <w:r w:rsidRPr="0014556C">
        <w:rPr>
          <w:rFonts w:asciiTheme="majorHAnsi" w:hAnsiTheme="majorHAnsi" w:cstheme="majorHAnsi"/>
        </w:rPr>
        <w:t>Following the 2</w:t>
      </w:r>
      <w:r w:rsidRPr="0014556C">
        <w:rPr>
          <w:rFonts w:asciiTheme="majorHAnsi" w:hAnsiTheme="majorHAnsi" w:cstheme="majorHAnsi"/>
          <w:vertAlign w:val="superscript"/>
        </w:rPr>
        <w:t>nd</w:t>
      </w:r>
      <w:r w:rsidRPr="0014556C">
        <w:rPr>
          <w:rFonts w:asciiTheme="majorHAnsi" w:hAnsiTheme="majorHAnsi" w:cstheme="majorHAnsi"/>
        </w:rPr>
        <w:t xml:space="preserve"> Think-Tank</w:t>
      </w:r>
      <w:r w:rsidR="00256858" w:rsidRPr="0014556C">
        <w:rPr>
          <w:rFonts w:asciiTheme="majorHAnsi" w:hAnsiTheme="majorHAnsi" w:cstheme="majorHAnsi"/>
        </w:rPr>
        <w:t xml:space="preserve"> meeting</w:t>
      </w:r>
      <w:r w:rsidRPr="0014556C">
        <w:rPr>
          <w:rFonts w:asciiTheme="majorHAnsi" w:hAnsiTheme="majorHAnsi" w:cstheme="majorHAnsi"/>
        </w:rPr>
        <w:t xml:space="preserve">, UEDIN and EFFAB arranged a webinar entitled </w:t>
      </w:r>
      <w:r w:rsidRPr="0014556C">
        <w:rPr>
          <w:rStyle w:val="break-words"/>
          <w:rFonts w:asciiTheme="majorHAnsi" w:hAnsiTheme="majorHAnsi" w:cstheme="majorHAnsi"/>
          <w:color w:val="212121"/>
        </w:rPr>
        <w:t>“The Power of G2P Research in</w:t>
      </w:r>
      <w:r w:rsidRPr="0014556C">
        <w:rPr>
          <w:rStyle w:val="apple-converted-space"/>
          <w:rFonts w:asciiTheme="majorHAnsi" w:hAnsiTheme="majorHAnsi" w:cstheme="majorHAnsi"/>
          <w:color w:val="212121"/>
        </w:rPr>
        <w:t> </w:t>
      </w:r>
      <w:r w:rsidRPr="0014556C">
        <w:rPr>
          <w:rStyle w:val="break-words"/>
          <w:rFonts w:asciiTheme="majorHAnsi" w:hAnsiTheme="majorHAnsi" w:cstheme="majorHAnsi"/>
          <w:color w:val="212121"/>
        </w:rPr>
        <w:t>Farmed Animals</w:t>
      </w:r>
      <w:r w:rsidRPr="0014556C">
        <w:rPr>
          <w:rStyle w:val="apple-converted-space"/>
          <w:rFonts w:asciiTheme="majorHAnsi" w:hAnsiTheme="majorHAnsi" w:cstheme="majorHAnsi"/>
          <w:color w:val="212121"/>
        </w:rPr>
        <w:t> </w:t>
      </w:r>
      <w:r w:rsidRPr="0014556C">
        <w:rPr>
          <w:rStyle w:val="break-words"/>
          <w:rFonts w:asciiTheme="majorHAnsi" w:hAnsiTheme="majorHAnsi" w:cstheme="majorHAnsi"/>
          <w:color w:val="212121"/>
        </w:rPr>
        <w:t>through High-Throughput CRISPR Screens.”</w:t>
      </w:r>
      <w:r w:rsidRPr="0014556C">
        <w:rPr>
          <w:rFonts w:asciiTheme="majorHAnsi" w:hAnsiTheme="majorHAnsi" w:cstheme="majorHAnsi"/>
        </w:rPr>
        <w:t xml:space="preserve"> which was given by one of the Think-Tank participants Dr Finn Grey from the Roslin Institute, University of Edinburgh, on the 24</w:t>
      </w:r>
      <w:r w:rsidRPr="0014556C">
        <w:rPr>
          <w:rFonts w:asciiTheme="majorHAnsi" w:hAnsiTheme="majorHAnsi" w:cstheme="majorHAnsi"/>
          <w:vertAlign w:val="superscript"/>
        </w:rPr>
        <w:t>th</w:t>
      </w:r>
      <w:r w:rsidRPr="0014556C">
        <w:rPr>
          <w:rFonts w:asciiTheme="majorHAnsi" w:hAnsiTheme="majorHAnsi" w:cstheme="majorHAnsi"/>
        </w:rPr>
        <w:t xml:space="preserve"> of May 2024. In total 91 people registered for the webinar. A recording is available on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website (</w:t>
      </w:r>
      <w:hyperlink r:id="rId18" w:history="1">
        <w:r w:rsidRPr="0014556C">
          <w:rPr>
            <w:rStyle w:val="Hyperlink"/>
            <w:rFonts w:asciiTheme="majorHAnsi" w:hAnsiTheme="majorHAnsi" w:cstheme="majorHAnsi"/>
            <w:b/>
            <w:bCs/>
          </w:rPr>
          <w:t>https://eurofaang.eu/video/</w:t>
        </w:r>
      </w:hyperlink>
      <w:r w:rsidRPr="0014556C">
        <w:rPr>
          <w:rFonts w:asciiTheme="majorHAnsi" w:hAnsiTheme="majorHAnsi" w:cstheme="majorHAnsi"/>
        </w:rPr>
        <w:t xml:space="preserve">). During the webinar Dr Finn Grey described </w:t>
      </w:r>
      <w:r w:rsidR="00256858" w:rsidRPr="0014556C">
        <w:rPr>
          <w:rFonts w:asciiTheme="majorHAnsi" w:hAnsiTheme="majorHAnsi" w:cstheme="majorHAnsi"/>
        </w:rPr>
        <w:t xml:space="preserve">his </w:t>
      </w:r>
      <w:r w:rsidRPr="0014556C">
        <w:rPr>
          <w:rFonts w:asciiTheme="majorHAnsi" w:hAnsiTheme="majorHAnsi" w:cstheme="majorHAnsi"/>
        </w:rPr>
        <w:t>recent published research</w:t>
      </w:r>
      <w:r w:rsidR="00256858" w:rsidRPr="0014556C">
        <w:rPr>
          <w:rFonts w:asciiTheme="majorHAnsi" w:hAnsiTheme="majorHAnsi" w:cstheme="majorHAnsi"/>
        </w:rPr>
        <w:t>, in collaboration with FLI in Germany,</w:t>
      </w:r>
      <w:r w:rsidRPr="0014556C">
        <w:rPr>
          <w:rFonts w:asciiTheme="majorHAnsi" w:hAnsiTheme="majorHAnsi" w:cstheme="majorHAnsi"/>
        </w:rPr>
        <w:t xml:space="preserve"> using genome wide CRISPR screens to identify genes associated with resistance to African Swine Fever Virus (ASFV) in porcine cells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o4UGYE5w","properties":{"formattedCitation":"(7)","plainCitation":"(7)","noteIndex":0},"citationItems":[{"id":"YEZZUd3L/gh5kBfvd","uris":["http://www.mendeley.com/documents/?uuid=1a9aefde-cbd7-42e9-8459-9f7f97e752c7"],"itemData":{"DOI":"10.1038/s41598-023-36788-9","ISSN":"2045-2322","abstract":"African swine fever virus (ASFV) is a lethal animal pathogen that enters its host cells through endocytosis. So far, host factors specifically required for ASFV replication have been barely identified. In this study a genome-wide CRISPR/Cas9 knockout screen in porcine cells indicated that the genes RFXANK, RFXAP, SLA-DMA, SLA-DMB, and CIITA are important for productive ASFV infection. The proteins encoded by these genes belong to the major histocompatibility complex II (MHC II), or swine leucocyte antigen complex II (SLA II). RFXAP and CIITA are MHC II-specific transcription factors, whereas SLA-DMA/B are subunits of the non-classical MHC II molecule SLA-DM. Targeted knockout of either of these genes led to severe replication defects of different ASFV isolates, reflected by substantially reduced plating efficiency, cell-to-cell spread, progeny virus titers and viral DNA replication. Transgene-based reconstitution of SLA-DMA/B fully restored the replication capacity demonstrating that SLA-DM, which resides in late endosomes, plays a crucial role during early steps of ASFV infection.","author":[{"dropping-particle":"","family":"Pannhorst","given":"Katrin","non-dropping-particle":"","parse-names":false,"suffix":""},{"dropping-particle":"","family":"Carlson","given":"Jolene","non-dropping-particle":"","parse-names":false,"suffix":""},{"dropping-particle":"","family":"Hölper","given":"Julia E","non-dropping-particle":"","parse-names":false,"suffix":""},{"dropping-particle":"","family":"Grey","given":"Finn","non-dropping-particle":"","parse-names":false,"suffix":""},{"dropping-particle":"","family":"Baillie","given":"John Kenneth","non-dropping-particle":"","parse-names":false,"suffix":""},{"dropping-particle":"","family":"Höper","given":"Dirk","non-dropping-particle":"","parse-names":false,"suffix":""},{"dropping-particle":"","family":"Wöhnke","given":"Elisabeth","non-dropping-particle":"","parse-names":false,"suffix":""},{"dropping-particle":"","family":"Franzke","given":"Kati","non-dropping-particle":"","parse-names":false,"suffix":""},{"dropping-particle":"","family":"Karger","given":"Axel","non-dropping-particle":"","parse-names":false,"suffix":""},{"dropping-particle":"","family":"Fuchs","given":"Walter","non-dropping-particle":"","parse-names":false,"suffix":""},{"dropping-particle":"","family":"Mettenleiter","given":"Thomas C","non-dropping-particle":"","parse-names":false,"suffix":""}],"container-title":"Scientific Reports","id":"YJHZWKoi/GnNE4g7K","issue":"1","issued":{"date-parts":[["2023"]]},"page":"10342","title":"The non-classical major histocompatibility complex II protein SLA-DM is crucial for African swine fever virus replication","type":"article-journal","volume":"13"}}],"schema":"https://github.com/citation-style-language/schema/raw/master/csl-citation.json"}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(7)</w:t>
      </w:r>
      <w:r w:rsidRPr="0014556C">
        <w:rPr>
          <w:rFonts w:asciiTheme="majorHAnsi" w:hAnsiTheme="majorHAnsi" w:cstheme="majorHAnsi"/>
        </w:rPr>
        <w:fldChar w:fldCharType="end"/>
      </w:r>
      <w:r w:rsidRPr="0014556C">
        <w:rPr>
          <w:rFonts w:asciiTheme="majorHAnsi" w:hAnsiTheme="majorHAnsi" w:cstheme="majorHAnsi"/>
        </w:rPr>
        <w:t xml:space="preserve">. He described different methods of lentiviral transduction, sgRNA library design and further potential applications of the technology. In a short discussion following the webinar subjects including, sharing the sgRNA libraries via the FAANG data portal to minimise duplicated effort, current challenges and priorities (e.g. avian influenza), the diversity of libraries available across species and the potential for collaboration via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project were covered. Finn Grey</w:t>
      </w:r>
      <w:r w:rsidR="00256858" w:rsidRPr="0014556C">
        <w:rPr>
          <w:rFonts w:asciiTheme="majorHAnsi" w:hAnsiTheme="majorHAnsi" w:cstheme="majorHAnsi"/>
        </w:rPr>
        <w:t xml:space="preserve"> (UEDIN)</w:t>
      </w:r>
      <w:r w:rsidRPr="0014556C">
        <w:rPr>
          <w:rFonts w:asciiTheme="majorHAnsi" w:hAnsiTheme="majorHAnsi" w:cstheme="majorHAnsi"/>
        </w:rPr>
        <w:t xml:space="preserve"> also described some of the current limitations of using </w:t>
      </w:r>
      <w:r w:rsidRPr="0014556C">
        <w:rPr>
          <w:rFonts w:asciiTheme="majorHAnsi" w:hAnsiTheme="majorHAnsi" w:cstheme="majorHAnsi"/>
          <w:i/>
          <w:iCs/>
        </w:rPr>
        <w:t>in vitro</w:t>
      </w:r>
      <w:r w:rsidRPr="0014556C">
        <w:rPr>
          <w:rFonts w:asciiTheme="majorHAnsi" w:hAnsiTheme="majorHAnsi" w:cstheme="majorHAnsi"/>
        </w:rPr>
        <w:t xml:space="preserve"> cellular models including difficulties with efficient delivery of sgRNAs to organoids, and the potential of the Cas9 expressing chicken and pig models as resources to overcome these issues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{"citationID":"eTqoF2ua","properties":{"formattedCitation":"(13)","plainCitation":"(13)","noteIndex":0},"citationItems":[{"id":1483,"uris":["http://zotero.org/users/13766804/items/NBR27RSX"],"itemData":{"id":1483,"type":"article-journal","abstract":"Genetically modified animals continue to provide important insights into the molecular basis of health and disease. Research has focused mostly on genetically  modified mice, although other species like pigs resemble the human physiology  more closely. In addition, cross-species comparisons with phylogenetically  distant species such as chickens provide powerful insights into fundamental  biological and biomedical processes. One of the most versatile genetic methods  applicable across species is CRISPR-Cas9. Here, we report the generation of  transgenic chickens and pigs that constitutively express Cas9 in all organs.  These animals are healthy and fertile. Functionality of Cas9 was confirmed in  both species for a number of different target genes, for a variety of cell types  and in vivo by targeted gene disruption in lymphocytes and the developing brain,  and by precise excision of a 12.7-kb DNA fragment in the heart. The Cas9  transgenic animals will provide a powerful resource for in vivo genome editing  for both agricultural and translational biomedical research, and will facilitate  reverse genetics as well as cross-species comparisons.","container-title":"Proceedings of the National Academy of Sciences of the United States of America","DOI":"10.1073/pnas.2022562118","ISSN":"1091-6490 0027-8424","issue":"10","journalAbbreviation":"Proc Natl Acad Sci U S A","language":"eng","license":"Copyright © 2021 the Author(s). Published by PNAS.","note":"publisher-place: United States\nPMID: 33658378 \nPMCID: PMC7958376","title":"Cas9-expressing chickens and pigs as resources for genome editing in livestock.","volume":"118","author":[{"family":"Rieblinger","given":"Beate"},{"family":"Sid","given":"Hicham"},{"family":"Duda","given":"Denise"},{"family":"Bozoglu","given":"Tarik"},{"family":"Klinger","given":"Romina"},{"family":"Schlickenrieder","given":"Antonina"},{"family":"Lengyel","given":"Kamila"},{"family":"Flisikowski","given":"Krzysztof"},{"family":"Flisikowska","given":"Tatiana"},{"family":"Simm","given":"Nina"},{"family":"Grodziecki","given":"Alessandro"},{"family":"Perleberg","given":"Carolin"},{"family":"Bähr","given":"Andrea"},{"family":"Carrier","given":"Lucie"},{"family":"Kurome","given":"Mayuko"},{"family":"Zakhartchenko","given":"Valeri"},{"family":"Kessler","given":"Barbara"},{"family":"Wolf","given":"Eckhard"},{"family":"Kettler","given":"Lutz"},{"family":"Luksch","given":"Harald"},{"family":"Hagag","given":"Ibrahim T."},{"family":"Wise","given":"Daniel"},{"family":"Kaufman","given":"Jim"},{"family":"Kaufer","given":"Benedikt B."},{"family":"Kupatt","given":"Christian"},{"family":"Schnieke","given":"Angelika"},{"family":"Schusser","given":"Benjamin"}],"issued":{"date-parts":[["2021",3,9]]}}}],"schema":"https://github.com/citation-style-language/schema/raw/master/csl-citation.json"}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(13)</w:t>
      </w:r>
      <w:r w:rsidRPr="0014556C">
        <w:rPr>
          <w:rFonts w:asciiTheme="majorHAnsi" w:hAnsiTheme="majorHAnsi" w:cstheme="majorHAnsi"/>
        </w:rPr>
        <w:fldChar w:fldCharType="end"/>
      </w:r>
      <w:r w:rsidRPr="0014556C">
        <w:rPr>
          <w:rFonts w:asciiTheme="majorHAnsi" w:hAnsiTheme="majorHAnsi" w:cstheme="majorHAnsi"/>
        </w:rPr>
        <w:t>.</w:t>
      </w:r>
    </w:p>
    <w:p w14:paraId="04FF9C33" w14:textId="77777777" w:rsidR="00437B6C" w:rsidRPr="0014556C" w:rsidRDefault="00437B6C" w:rsidP="00D077CB">
      <w:pPr>
        <w:jc w:val="both"/>
        <w:rPr>
          <w:rFonts w:asciiTheme="majorHAnsi" w:hAnsiTheme="majorHAnsi" w:cstheme="majorHAnsi"/>
        </w:rPr>
      </w:pPr>
    </w:p>
    <w:p w14:paraId="28C196C1" w14:textId="0F3D4AFA" w:rsidR="00437B6C" w:rsidRPr="0014556C" w:rsidRDefault="00437B6C" w:rsidP="00437B6C">
      <w:pPr>
        <w:pStyle w:val="Heading2"/>
        <w:rPr>
          <w:rFonts w:asciiTheme="majorHAnsi" w:hAnsiTheme="majorHAnsi" w:cstheme="majorHAnsi"/>
        </w:rPr>
      </w:pPr>
      <w:bookmarkStart w:id="10" w:name="_Toc170418870"/>
      <w:r w:rsidRPr="0014556C">
        <w:rPr>
          <w:rFonts w:asciiTheme="majorHAnsi" w:hAnsiTheme="majorHAnsi" w:cstheme="majorHAnsi"/>
        </w:rPr>
        <w:t xml:space="preserve">WP4 workshop session </w:t>
      </w:r>
      <w:r w:rsidRPr="0014556C">
        <w:rPr>
          <w:rFonts w:asciiTheme="majorHAnsi" w:hAnsiTheme="majorHAnsi" w:cstheme="majorHAnsi"/>
        </w:rPr>
        <w:t>to build expertise in</w:t>
      </w:r>
      <w:r w:rsidRPr="0014556C">
        <w:rPr>
          <w:rFonts w:asciiTheme="majorHAnsi" w:hAnsiTheme="majorHAnsi" w:cstheme="majorHAnsi"/>
        </w:rPr>
        <w:t xml:space="preserve"> single guide RNA design</w:t>
      </w:r>
      <w:bookmarkEnd w:id="10"/>
    </w:p>
    <w:p w14:paraId="7AA9AB33" w14:textId="2E63DE19" w:rsidR="00437B6C" w:rsidRPr="0014556C" w:rsidRDefault="00CE1A16" w:rsidP="00D077CB">
      <w:pPr>
        <w:jc w:val="both"/>
        <w:rPr>
          <w:rFonts w:asciiTheme="majorHAnsi" w:hAnsiTheme="majorHAnsi" w:cstheme="majorHAnsi"/>
          <w:b/>
          <w:bCs/>
        </w:rPr>
      </w:pPr>
      <w:r w:rsidRPr="0014556C">
        <w:rPr>
          <w:rFonts w:asciiTheme="majorHAnsi" w:hAnsiTheme="majorHAnsi" w:cstheme="majorHAnsi"/>
        </w:rPr>
        <w:t xml:space="preserve">During the genome editing think-tank discussion a lack of expertise in sgRNA design was identified as a barrier to using the technology. </w:t>
      </w:r>
      <w:r w:rsidR="00437B6C" w:rsidRPr="0014556C">
        <w:rPr>
          <w:rFonts w:asciiTheme="majorHAnsi" w:hAnsiTheme="majorHAnsi" w:cstheme="majorHAnsi"/>
        </w:rPr>
        <w:t xml:space="preserve">To build expertise in </w:t>
      </w:r>
      <w:r w:rsidR="00437B6C" w:rsidRPr="0014556C">
        <w:rPr>
          <w:rFonts w:asciiTheme="majorHAnsi" w:hAnsiTheme="majorHAnsi" w:cstheme="majorHAnsi"/>
        </w:rPr>
        <w:t>the design</w:t>
      </w:r>
      <w:r w:rsidR="00437B6C" w:rsidRPr="0014556C">
        <w:rPr>
          <w:rFonts w:asciiTheme="majorHAnsi" w:hAnsiTheme="majorHAnsi" w:cstheme="majorHAnsi"/>
        </w:rPr>
        <w:t xml:space="preserve"> </w:t>
      </w:r>
      <w:r w:rsidR="00437B6C" w:rsidRPr="0014556C">
        <w:rPr>
          <w:rFonts w:asciiTheme="majorHAnsi" w:hAnsiTheme="majorHAnsi" w:cstheme="majorHAnsi"/>
        </w:rPr>
        <w:t xml:space="preserve">of sgRNA CRISPR libraries </w:t>
      </w:r>
      <w:r w:rsidR="00437B6C" w:rsidRPr="0014556C">
        <w:rPr>
          <w:rFonts w:asciiTheme="majorHAnsi" w:hAnsiTheme="majorHAnsi" w:cstheme="majorHAnsi"/>
        </w:rPr>
        <w:t xml:space="preserve">Finn Grey </w:t>
      </w:r>
      <w:r w:rsidR="00437B6C" w:rsidRPr="0014556C">
        <w:rPr>
          <w:rFonts w:asciiTheme="majorHAnsi" w:hAnsiTheme="majorHAnsi" w:cstheme="majorHAnsi"/>
        </w:rPr>
        <w:t xml:space="preserve">(UEDIN) </w:t>
      </w:r>
      <w:r w:rsidR="00437B6C" w:rsidRPr="0014556C">
        <w:rPr>
          <w:rFonts w:asciiTheme="majorHAnsi" w:hAnsiTheme="majorHAnsi" w:cstheme="majorHAnsi"/>
        </w:rPr>
        <w:t xml:space="preserve">will give a seminar and training session at the workshop “G2P in a Dish: </w:t>
      </w:r>
      <w:r w:rsidR="00437B6C" w:rsidRPr="00437B6C">
        <w:rPr>
          <w:rFonts w:asciiTheme="majorHAnsi" w:hAnsiTheme="majorHAnsi" w:cstheme="majorHAnsi"/>
        </w:rPr>
        <w:t xml:space="preserve">A workshop on genotype to phenotype research in domestic animals: </w:t>
      </w:r>
      <w:r w:rsidR="00437B6C" w:rsidRPr="00437B6C">
        <w:rPr>
          <w:rFonts w:asciiTheme="majorHAnsi" w:hAnsiTheme="majorHAnsi" w:cstheme="majorHAnsi"/>
          <w:i/>
          <w:iCs/>
        </w:rPr>
        <w:t xml:space="preserve">in vitro </w:t>
      </w:r>
      <w:r w:rsidR="00437B6C" w:rsidRPr="00437B6C">
        <w:rPr>
          <w:rFonts w:asciiTheme="majorHAnsi" w:hAnsiTheme="majorHAnsi" w:cstheme="majorHAnsi"/>
        </w:rPr>
        <w:t>models and standards</w:t>
      </w:r>
      <w:r w:rsidR="00437B6C" w:rsidRPr="0014556C">
        <w:rPr>
          <w:rFonts w:asciiTheme="majorHAnsi" w:hAnsiTheme="majorHAnsi" w:cstheme="majorHAnsi"/>
        </w:rPr>
        <w:t>”</w:t>
      </w:r>
      <w:r w:rsidR="00437B6C" w:rsidRPr="0014556C">
        <w:rPr>
          <w:rFonts w:asciiTheme="majorHAnsi" w:hAnsiTheme="majorHAnsi" w:cstheme="majorHAnsi"/>
          <w:b/>
          <w:bCs/>
        </w:rPr>
        <w:t xml:space="preserve"> </w:t>
      </w:r>
      <w:hyperlink r:id="rId19" w:history="1">
        <w:r w:rsidR="00437B6C" w:rsidRPr="0014556C">
          <w:rPr>
            <w:rStyle w:val="Hyperlink"/>
            <w:rFonts w:asciiTheme="majorHAnsi" w:hAnsiTheme="majorHAnsi" w:cstheme="majorHAnsi"/>
          </w:rPr>
          <w:t>https://eurofaang.eu/g2p-in-a-dish/</w:t>
        </w:r>
      </w:hyperlink>
      <w:r w:rsidR="00437B6C" w:rsidRPr="0014556C">
        <w:rPr>
          <w:rFonts w:asciiTheme="majorHAnsi" w:hAnsiTheme="majorHAnsi" w:cstheme="majorHAnsi"/>
        </w:rPr>
        <w:t xml:space="preserve"> organised by INRAE and WUR for WP4.</w:t>
      </w:r>
      <w:r w:rsidR="00437B6C" w:rsidRPr="0014556C">
        <w:rPr>
          <w:rFonts w:asciiTheme="majorHAnsi" w:hAnsiTheme="majorHAnsi" w:cstheme="majorHAnsi"/>
        </w:rPr>
        <w:t xml:space="preserve"> The workshop will take place in February 2025. Various tools exist for sgRNA design e.g. </w:t>
      </w:r>
      <w:r w:rsidR="00437B6C"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{"citationID":"0L2CsSFh","properties":{"formattedCitation":"(14)","plainCitation":"(14)","noteIndex":0},"citationItems":[{"id":1499,"uris":["http://zotero.org/users/13766804/items/87XTV6F2"],"itemData":{"id":1499,"type":"article-journal","container-title":"Cell Reports Methods","DOI":"10.1016/j.crmeth.2022.100373","ISSN":"2667-2375","issue":"1","note":"publisher: Elsevier","title":"An interactive web application for processing, correcting, and visualizing genome-wide pooled CRISPR-Cas9 screens","URL":"https://doi.org/10.1016/j.crmeth.2022.100373","volume":"3","author":[{"family":"Vinceti","given":"Alessandro"},{"family":"De Lucia","given":"Riccardo Roberto"},{"family":"Cremaschi","given":"Paolo"},{"family":"Perron","given":"Umberto"},{"family":"Karakoc","given":"Emre"},{"family":"Mauri","given":"Luca"},{"family":"Fernandez","given":"Carlos"},{"family":"Kluczynski","given":"Krzysztof Henryk"},{"family":"Anderson","given":"Daniel Stephen"},{"family":"Iorio","given":"Francesco"}],"accessed":{"date-parts":[["2024",6,27]]},"issued":{"date-parts":[["2023",1,23]]}}}],"schema":"https://github.com/citation-style-language/schema/raw/master/csl-citation.json"} </w:instrText>
      </w:r>
      <w:r w:rsidR="00437B6C" w:rsidRPr="0014556C">
        <w:rPr>
          <w:rFonts w:asciiTheme="majorHAnsi" w:hAnsiTheme="majorHAnsi" w:cstheme="majorHAnsi"/>
        </w:rPr>
        <w:fldChar w:fldCharType="separate"/>
      </w:r>
      <w:r w:rsidR="0014556C" w:rsidRPr="0014556C">
        <w:rPr>
          <w:rFonts w:asciiTheme="majorHAnsi" w:hAnsiTheme="majorHAnsi" w:cstheme="majorHAnsi"/>
          <w:noProof/>
        </w:rPr>
        <w:t>(14)</w:t>
      </w:r>
      <w:r w:rsidR="00437B6C" w:rsidRPr="0014556C">
        <w:rPr>
          <w:rFonts w:asciiTheme="majorHAnsi" w:hAnsiTheme="majorHAnsi" w:cstheme="majorHAnsi"/>
        </w:rPr>
        <w:fldChar w:fldCharType="end"/>
      </w:r>
      <w:r w:rsidR="00437B6C" w:rsidRPr="0014556C">
        <w:rPr>
          <w:rFonts w:asciiTheme="majorHAnsi" w:hAnsiTheme="majorHAnsi" w:cstheme="majorHAnsi"/>
        </w:rPr>
        <w:t xml:space="preserve"> and Finn Grey will cover </w:t>
      </w:r>
      <w:r w:rsidRPr="0014556C">
        <w:rPr>
          <w:rFonts w:asciiTheme="majorHAnsi" w:hAnsiTheme="majorHAnsi" w:cstheme="majorHAnsi"/>
        </w:rPr>
        <w:t xml:space="preserve">optimisation of library design and </w:t>
      </w:r>
      <w:r w:rsidR="00437B6C" w:rsidRPr="0014556C">
        <w:rPr>
          <w:rFonts w:asciiTheme="majorHAnsi" w:hAnsiTheme="majorHAnsi" w:cstheme="majorHAnsi"/>
        </w:rPr>
        <w:t>application</w:t>
      </w:r>
      <w:r w:rsidRPr="0014556C">
        <w:rPr>
          <w:rFonts w:asciiTheme="majorHAnsi" w:hAnsiTheme="majorHAnsi" w:cstheme="majorHAnsi"/>
        </w:rPr>
        <w:t xml:space="preserve"> in his two hour interactive session that will be delivered in person. He will also give a seminar during the workshop ahead of the session.</w:t>
      </w:r>
    </w:p>
    <w:p w14:paraId="4CB00F4C" w14:textId="77777777" w:rsidR="00D077CB" w:rsidRPr="0014556C" w:rsidRDefault="00D077CB" w:rsidP="000E4964">
      <w:pPr>
        <w:pStyle w:val="Heading2"/>
        <w:jc w:val="both"/>
        <w:rPr>
          <w:rFonts w:asciiTheme="majorHAnsi" w:hAnsiTheme="majorHAnsi" w:cstheme="majorHAnsi"/>
        </w:rPr>
      </w:pPr>
    </w:p>
    <w:p w14:paraId="746A4073" w14:textId="6D24C742" w:rsidR="000E4964" w:rsidRPr="0014556C" w:rsidRDefault="00C82DF3" w:rsidP="00194EB9">
      <w:pPr>
        <w:pStyle w:val="Heading2"/>
        <w:rPr>
          <w:rFonts w:asciiTheme="majorHAnsi" w:hAnsiTheme="majorHAnsi" w:cstheme="majorHAnsi"/>
        </w:rPr>
      </w:pPr>
      <w:bookmarkStart w:id="11" w:name="_Toc170418871"/>
      <w:r w:rsidRPr="0014556C">
        <w:rPr>
          <w:rFonts w:asciiTheme="majorHAnsi" w:hAnsiTheme="majorHAnsi" w:cstheme="majorHAnsi"/>
        </w:rPr>
        <w:t>Facilities with</w:t>
      </w:r>
      <w:r w:rsidR="000E4964" w:rsidRPr="0014556C">
        <w:rPr>
          <w:rFonts w:asciiTheme="majorHAnsi" w:hAnsiTheme="majorHAnsi" w:cstheme="majorHAnsi"/>
        </w:rPr>
        <w:t xml:space="preserve"> ‘High-throughput </w:t>
      </w:r>
      <w:r w:rsidR="005D3384" w:rsidRPr="0014556C">
        <w:rPr>
          <w:rFonts w:asciiTheme="majorHAnsi" w:hAnsiTheme="majorHAnsi" w:cstheme="majorHAnsi"/>
        </w:rPr>
        <w:t xml:space="preserve">cell </w:t>
      </w:r>
      <w:r w:rsidR="000E4964" w:rsidRPr="0014556C">
        <w:rPr>
          <w:rFonts w:asciiTheme="majorHAnsi" w:hAnsiTheme="majorHAnsi" w:cstheme="majorHAnsi"/>
        </w:rPr>
        <w:t>phenotyping platforms</w:t>
      </w:r>
      <w:r w:rsidRPr="0014556C">
        <w:rPr>
          <w:rFonts w:asciiTheme="majorHAnsi" w:hAnsiTheme="majorHAnsi" w:cstheme="majorHAnsi"/>
        </w:rPr>
        <w:t xml:space="preserve">’ </w:t>
      </w:r>
      <w:r w:rsidR="004D455C" w:rsidRPr="0014556C">
        <w:rPr>
          <w:rFonts w:asciiTheme="majorHAnsi" w:hAnsiTheme="majorHAnsi" w:cstheme="majorHAnsi"/>
        </w:rPr>
        <w:t>within</w:t>
      </w:r>
      <w:r w:rsidR="000E4964" w:rsidRPr="0014556C">
        <w:rPr>
          <w:rFonts w:asciiTheme="majorHAnsi" w:hAnsiTheme="majorHAnsi" w:cstheme="majorHAnsi"/>
        </w:rPr>
        <w:t xml:space="preserve"> Europe</w:t>
      </w:r>
      <w:bookmarkEnd w:id="11"/>
    </w:p>
    <w:p w14:paraId="34A933C1" w14:textId="0CBC6995" w:rsidR="002C4300" w:rsidRPr="0014556C" w:rsidRDefault="002C4300" w:rsidP="00083247">
      <w:pPr>
        <w:jc w:val="both"/>
        <w:rPr>
          <w:rFonts w:asciiTheme="majorHAnsi" w:hAnsiTheme="majorHAnsi" w:cstheme="majorHAnsi"/>
          <w:lang w:val="en-US"/>
        </w:rPr>
      </w:pPr>
      <w:r w:rsidRPr="0014556C">
        <w:rPr>
          <w:rFonts w:asciiTheme="majorHAnsi" w:hAnsiTheme="majorHAnsi" w:cstheme="majorHAnsi"/>
          <w:lang w:val="en-US"/>
        </w:rPr>
        <w:t>One of the key components that is required to make genome wide CRISPR screens scalable</w:t>
      </w:r>
      <w:r w:rsidR="00256858" w:rsidRPr="0014556C">
        <w:rPr>
          <w:rFonts w:asciiTheme="majorHAnsi" w:hAnsiTheme="majorHAnsi" w:cstheme="majorHAnsi"/>
          <w:lang w:val="en-US"/>
        </w:rPr>
        <w:t>, to screen 100’s of 1000’s of alleles in multiple cell lines at once,</w:t>
      </w:r>
      <w:r w:rsidRPr="0014556C">
        <w:rPr>
          <w:rFonts w:asciiTheme="majorHAnsi" w:hAnsiTheme="majorHAnsi" w:cstheme="majorHAnsi"/>
          <w:lang w:val="en-US"/>
        </w:rPr>
        <w:t xml:space="preserve"> is the ability to perform high-throughput cell</w:t>
      </w:r>
      <w:r w:rsidR="00256858" w:rsidRPr="0014556C">
        <w:rPr>
          <w:rFonts w:asciiTheme="majorHAnsi" w:hAnsiTheme="majorHAnsi" w:cstheme="majorHAnsi"/>
          <w:lang w:val="en-US"/>
        </w:rPr>
        <w:t>ular</w:t>
      </w:r>
      <w:r w:rsidRPr="0014556C">
        <w:rPr>
          <w:rFonts w:asciiTheme="majorHAnsi" w:hAnsiTheme="majorHAnsi" w:cstheme="majorHAnsi"/>
          <w:lang w:val="en-US"/>
        </w:rPr>
        <w:t xml:space="preserve"> phenotyping at scale, using automated and/or robotic platforms.</w:t>
      </w:r>
    </w:p>
    <w:p w14:paraId="7BAC0EDD" w14:textId="77777777" w:rsidR="002C4300" w:rsidRPr="0014556C" w:rsidRDefault="002C4300" w:rsidP="002C4300">
      <w:pPr>
        <w:rPr>
          <w:lang w:val="en-US"/>
        </w:rPr>
      </w:pPr>
    </w:p>
    <w:p w14:paraId="6B51E6A4" w14:textId="553D8CB5" w:rsidR="005D3384" w:rsidRPr="0014556C" w:rsidRDefault="005D3384" w:rsidP="002C4300">
      <w:pPr>
        <w:jc w:val="both"/>
        <w:rPr>
          <w:lang w:val="en-US"/>
        </w:rPr>
      </w:pPr>
      <w:r w:rsidRPr="0014556C">
        <w:rPr>
          <w:rFonts w:asciiTheme="majorHAnsi" w:hAnsiTheme="majorHAnsi" w:cstheme="majorHAnsi"/>
          <w:lang w:val="en-US"/>
        </w:rPr>
        <w:t xml:space="preserve">D5.1 UEDIN performed a search of </w:t>
      </w:r>
      <w:r w:rsidRPr="0014556C">
        <w:rPr>
          <w:rStyle w:val="Strong"/>
          <w:rFonts w:asciiTheme="majorHAnsi" w:hAnsiTheme="majorHAnsi" w:cstheme="majorHAnsi"/>
          <w:b w:val="0"/>
          <w:bCs w:val="0"/>
        </w:rPr>
        <w:t>high throughput cell</w:t>
      </w:r>
      <w:r w:rsidR="00256858" w:rsidRPr="0014556C">
        <w:rPr>
          <w:rStyle w:val="Strong"/>
          <w:rFonts w:asciiTheme="majorHAnsi" w:hAnsiTheme="majorHAnsi" w:cstheme="majorHAnsi"/>
          <w:b w:val="0"/>
          <w:bCs w:val="0"/>
        </w:rPr>
        <w:t>ular</w:t>
      </w:r>
      <w:r w:rsidRPr="0014556C">
        <w:rPr>
          <w:rStyle w:val="Strong"/>
          <w:rFonts w:asciiTheme="majorHAnsi" w:hAnsiTheme="majorHAnsi" w:cstheme="majorHAnsi"/>
          <w:b w:val="0"/>
          <w:bCs w:val="0"/>
        </w:rPr>
        <w:t xml:space="preserve"> screening platform facilities </w:t>
      </w:r>
      <w:r w:rsidR="002C4300" w:rsidRPr="0014556C">
        <w:rPr>
          <w:rStyle w:val="Strong"/>
          <w:rFonts w:asciiTheme="majorHAnsi" w:hAnsiTheme="majorHAnsi" w:cstheme="majorHAnsi"/>
          <w:b w:val="0"/>
          <w:bCs w:val="0"/>
        </w:rPr>
        <w:t xml:space="preserve">in Europe. Prior to starting this activity, from discussions with participants in the think-tank, it was clear that there were </w:t>
      </w:r>
      <w:r w:rsidR="00256858" w:rsidRPr="0014556C">
        <w:rPr>
          <w:rStyle w:val="Strong"/>
          <w:rFonts w:asciiTheme="majorHAnsi" w:hAnsiTheme="majorHAnsi" w:cstheme="majorHAnsi"/>
          <w:b w:val="0"/>
          <w:bCs w:val="0"/>
        </w:rPr>
        <w:t>only a small number of</w:t>
      </w:r>
      <w:r w:rsidR="002C4300" w:rsidRPr="0014556C">
        <w:rPr>
          <w:rStyle w:val="Strong"/>
          <w:rFonts w:asciiTheme="majorHAnsi" w:hAnsiTheme="majorHAnsi" w:cstheme="majorHAnsi"/>
          <w:b w:val="0"/>
          <w:bCs w:val="0"/>
        </w:rPr>
        <w:t xml:space="preserve"> </w:t>
      </w:r>
      <w:proofErr w:type="spellStart"/>
      <w:r w:rsidR="002C4300" w:rsidRPr="0014556C">
        <w:rPr>
          <w:rStyle w:val="Strong"/>
          <w:rFonts w:asciiTheme="majorHAnsi" w:hAnsiTheme="majorHAnsi" w:cstheme="majorHAnsi"/>
          <w:b w:val="0"/>
          <w:bCs w:val="0"/>
        </w:rPr>
        <w:t>facilties</w:t>
      </w:r>
      <w:proofErr w:type="spellEnd"/>
      <w:r w:rsidR="002C4300" w:rsidRPr="0014556C">
        <w:rPr>
          <w:rStyle w:val="Strong"/>
          <w:rFonts w:asciiTheme="majorHAnsi" w:hAnsiTheme="majorHAnsi" w:cstheme="majorHAnsi"/>
          <w:b w:val="0"/>
          <w:bCs w:val="0"/>
        </w:rPr>
        <w:t xml:space="preserve"> in Europe with this capacity and many were focused on human research. The facilities identified are shown in Table 1 and summarised below.</w:t>
      </w:r>
    </w:p>
    <w:p w14:paraId="5D2F64E3" w14:textId="77777777" w:rsidR="005D3384" w:rsidRPr="0014556C" w:rsidRDefault="005D3384" w:rsidP="005D3384">
      <w:pPr>
        <w:rPr>
          <w:lang w:val="en-US"/>
        </w:rPr>
      </w:pPr>
    </w:p>
    <w:p w14:paraId="6F7E0587" w14:textId="6CB9EFE8" w:rsidR="00095237" w:rsidRPr="0014556C" w:rsidRDefault="008449D1" w:rsidP="002C4300">
      <w:pPr>
        <w:jc w:val="both"/>
        <w:rPr>
          <w:rStyle w:val="Strong"/>
          <w:rFonts w:asciiTheme="majorHAnsi" w:hAnsiTheme="majorHAnsi" w:cstheme="majorHAnsi"/>
        </w:rPr>
      </w:pPr>
      <w:r w:rsidRPr="0014556C">
        <w:rPr>
          <w:rFonts w:asciiTheme="majorHAnsi" w:hAnsiTheme="majorHAnsi" w:cstheme="majorHAnsi"/>
          <w:b/>
          <w:bCs/>
          <w:lang w:val="en-US"/>
        </w:rPr>
        <w:lastRenderedPageBreak/>
        <w:t>Table 1: List of</w:t>
      </w:r>
      <w:r w:rsidRPr="0014556C">
        <w:rPr>
          <w:rFonts w:asciiTheme="majorHAnsi" w:hAnsiTheme="majorHAnsi" w:cstheme="majorHAnsi"/>
          <w:lang w:val="en-US"/>
        </w:rPr>
        <w:t xml:space="preserve"> </w:t>
      </w:r>
      <w:r w:rsidR="009667A2" w:rsidRPr="0014556C">
        <w:rPr>
          <w:rFonts w:asciiTheme="majorHAnsi" w:hAnsiTheme="majorHAnsi" w:cstheme="majorHAnsi"/>
          <w:b/>
          <w:bCs/>
          <w:lang w:val="en-US"/>
        </w:rPr>
        <w:t>examples of</w:t>
      </w:r>
      <w:r w:rsidR="009667A2" w:rsidRPr="0014556C">
        <w:rPr>
          <w:rFonts w:asciiTheme="majorHAnsi" w:hAnsiTheme="majorHAnsi" w:cstheme="majorHAnsi"/>
          <w:lang w:val="en-US"/>
        </w:rPr>
        <w:t xml:space="preserve"> </w:t>
      </w:r>
      <w:r w:rsidRPr="0014556C">
        <w:rPr>
          <w:rStyle w:val="Strong"/>
          <w:rFonts w:asciiTheme="majorHAnsi" w:hAnsiTheme="majorHAnsi" w:cstheme="majorHAnsi"/>
        </w:rPr>
        <w:t>high throughput cell</w:t>
      </w:r>
      <w:r w:rsidR="004D455C" w:rsidRPr="0014556C">
        <w:rPr>
          <w:rStyle w:val="Strong"/>
          <w:rFonts w:asciiTheme="majorHAnsi" w:hAnsiTheme="majorHAnsi" w:cstheme="majorHAnsi"/>
        </w:rPr>
        <w:t>ular</w:t>
      </w:r>
      <w:r w:rsidRPr="0014556C">
        <w:rPr>
          <w:rStyle w:val="Strong"/>
          <w:rFonts w:asciiTheme="majorHAnsi" w:hAnsiTheme="majorHAnsi" w:cstheme="majorHAnsi"/>
        </w:rPr>
        <w:t xml:space="preserve"> screening platform facilities</w:t>
      </w:r>
      <w:r w:rsidR="00256858" w:rsidRPr="0014556C">
        <w:rPr>
          <w:rStyle w:val="Strong"/>
          <w:rFonts w:asciiTheme="majorHAnsi" w:hAnsiTheme="majorHAnsi" w:cstheme="majorHAnsi"/>
        </w:rPr>
        <w:t xml:space="preserve"> in Europe</w:t>
      </w:r>
      <w:r w:rsidRPr="0014556C">
        <w:rPr>
          <w:rStyle w:val="Strong"/>
          <w:rFonts w:asciiTheme="majorHAnsi" w:hAnsiTheme="majorHAnsi" w:cstheme="majorHAnsi"/>
        </w:rPr>
        <w:t xml:space="preserve"> with capacity to perform CRISPR screens</w:t>
      </w:r>
      <w:r w:rsidR="00256858" w:rsidRPr="0014556C">
        <w:rPr>
          <w:rStyle w:val="Strong"/>
          <w:rFonts w:asciiTheme="majorHAnsi" w:hAnsiTheme="majorHAnsi" w:cstheme="majorHAnsi"/>
        </w:rPr>
        <w:t xml:space="preserve"> at scale</w:t>
      </w:r>
      <w:r w:rsidRPr="0014556C">
        <w:rPr>
          <w:rStyle w:val="Strong"/>
          <w:rFonts w:asciiTheme="majorHAnsi" w:hAnsiTheme="majorHAnsi" w:cstheme="majorHAnsi"/>
        </w:rPr>
        <w:t xml:space="preserve"> </w:t>
      </w:r>
    </w:p>
    <w:p w14:paraId="06616F26" w14:textId="77777777" w:rsidR="006D4E2F" w:rsidRPr="0014556C" w:rsidRDefault="006D4E2F" w:rsidP="00095237">
      <w:pPr>
        <w:rPr>
          <w:rStyle w:val="Strong"/>
          <w:rFonts w:asciiTheme="majorHAnsi" w:hAnsiTheme="majorHAnsi" w:cstheme="majorHAnsi"/>
        </w:rPr>
      </w:pPr>
    </w:p>
    <w:tbl>
      <w:tblPr>
        <w:tblStyle w:val="TableGrid"/>
        <w:tblW w:w="0" w:type="auto"/>
        <w:tblLook w:val="04A0" w:firstRow="1" w:lastRow="0" w:firstColumn="1" w:lastColumn="0" w:noHBand="0" w:noVBand="1"/>
      </w:tblPr>
      <w:tblGrid>
        <w:gridCol w:w="1744"/>
        <w:gridCol w:w="2683"/>
        <w:gridCol w:w="4210"/>
      </w:tblGrid>
      <w:tr w:rsidR="006D4E2F" w:rsidRPr="0014556C" w14:paraId="02C7A36C" w14:textId="77777777" w:rsidTr="006D4E2F">
        <w:tc>
          <w:tcPr>
            <w:tcW w:w="2879" w:type="dxa"/>
          </w:tcPr>
          <w:p w14:paraId="2C95ACCA" w14:textId="277683A5" w:rsidR="006D4E2F" w:rsidRPr="0014556C" w:rsidRDefault="006D4E2F" w:rsidP="00095237">
            <w:pPr>
              <w:rPr>
                <w:rFonts w:asciiTheme="majorHAnsi" w:hAnsiTheme="majorHAnsi" w:cstheme="majorHAnsi"/>
                <w:b/>
                <w:bCs/>
                <w:lang w:val="en-US"/>
              </w:rPr>
            </w:pPr>
            <w:r w:rsidRPr="0014556C">
              <w:rPr>
                <w:rFonts w:asciiTheme="majorHAnsi" w:hAnsiTheme="majorHAnsi" w:cstheme="majorHAnsi"/>
                <w:b/>
                <w:bCs/>
                <w:lang w:val="en-US"/>
              </w:rPr>
              <w:t xml:space="preserve">Country </w:t>
            </w:r>
          </w:p>
        </w:tc>
        <w:tc>
          <w:tcPr>
            <w:tcW w:w="2879" w:type="dxa"/>
          </w:tcPr>
          <w:p w14:paraId="05128DAA" w14:textId="28D2B017" w:rsidR="006D4E2F" w:rsidRPr="0014556C" w:rsidRDefault="006D4E2F" w:rsidP="00095237">
            <w:pPr>
              <w:rPr>
                <w:rFonts w:asciiTheme="majorHAnsi" w:hAnsiTheme="majorHAnsi" w:cstheme="majorHAnsi"/>
                <w:b/>
                <w:bCs/>
                <w:lang w:val="en-US"/>
              </w:rPr>
            </w:pPr>
            <w:r w:rsidRPr="0014556C">
              <w:rPr>
                <w:rFonts w:asciiTheme="majorHAnsi" w:hAnsiTheme="majorHAnsi" w:cstheme="majorHAnsi"/>
                <w:b/>
                <w:bCs/>
                <w:lang w:val="en-US"/>
              </w:rPr>
              <w:t>Facility</w:t>
            </w:r>
          </w:p>
        </w:tc>
        <w:tc>
          <w:tcPr>
            <w:tcW w:w="2879" w:type="dxa"/>
          </w:tcPr>
          <w:p w14:paraId="33D162CA" w14:textId="4E56D4AF" w:rsidR="006D4E2F" w:rsidRPr="0014556C" w:rsidRDefault="006D4E2F" w:rsidP="00095237">
            <w:pPr>
              <w:rPr>
                <w:rFonts w:asciiTheme="majorHAnsi" w:hAnsiTheme="majorHAnsi" w:cstheme="majorHAnsi"/>
                <w:b/>
                <w:bCs/>
                <w:lang w:val="en-US"/>
              </w:rPr>
            </w:pPr>
            <w:r w:rsidRPr="0014556C">
              <w:rPr>
                <w:rFonts w:asciiTheme="majorHAnsi" w:hAnsiTheme="majorHAnsi" w:cstheme="majorHAnsi"/>
                <w:b/>
                <w:bCs/>
                <w:lang w:val="en-US"/>
              </w:rPr>
              <w:t>Webpage</w:t>
            </w:r>
          </w:p>
        </w:tc>
      </w:tr>
      <w:tr w:rsidR="006D4E2F" w:rsidRPr="0014556C" w14:paraId="57261D27" w14:textId="77777777" w:rsidTr="006D4E2F">
        <w:tc>
          <w:tcPr>
            <w:tcW w:w="2879" w:type="dxa"/>
          </w:tcPr>
          <w:p w14:paraId="3FD51703" w14:textId="5B12CD89"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 xml:space="preserve">France </w:t>
            </w:r>
          </w:p>
        </w:tc>
        <w:tc>
          <w:tcPr>
            <w:tcW w:w="2879" w:type="dxa"/>
          </w:tcPr>
          <w:p w14:paraId="6CE0B172" w14:textId="00164BD4"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 xml:space="preserve">IGBMC - </w:t>
            </w:r>
            <w:r w:rsidRPr="0014556C">
              <w:rPr>
                <w:rStyle w:val="Strong"/>
                <w:rFonts w:asciiTheme="majorHAnsi" w:hAnsiTheme="majorHAnsi" w:cstheme="majorHAnsi"/>
                <w:b w:val="0"/>
                <w:bCs w:val="0"/>
              </w:rPr>
              <w:t>high throughput cell screening platform</w:t>
            </w:r>
          </w:p>
        </w:tc>
        <w:tc>
          <w:tcPr>
            <w:tcW w:w="2879" w:type="dxa"/>
          </w:tcPr>
          <w:p w14:paraId="2276A4AE" w14:textId="77777777" w:rsidR="006D4E2F" w:rsidRPr="0014556C" w:rsidRDefault="00000000" w:rsidP="006D4E2F">
            <w:pPr>
              <w:rPr>
                <w:rFonts w:asciiTheme="majorHAnsi" w:hAnsiTheme="majorHAnsi" w:cstheme="majorHAnsi"/>
                <w:lang w:val="en-US"/>
              </w:rPr>
            </w:pPr>
            <w:hyperlink r:id="rId20" w:history="1">
              <w:r w:rsidR="006D4E2F" w:rsidRPr="0014556C">
                <w:rPr>
                  <w:rStyle w:val="Hyperlink"/>
                  <w:rFonts w:asciiTheme="majorHAnsi" w:hAnsiTheme="majorHAnsi" w:cstheme="majorHAnsi"/>
                  <w:lang w:val="en-US"/>
                </w:rPr>
                <w:t>https://www.igbmc.fr/en/plateforms-and-services/platforms/high-throughput-cell-screening</w:t>
              </w:r>
            </w:hyperlink>
            <w:r w:rsidR="006D4E2F" w:rsidRPr="0014556C">
              <w:rPr>
                <w:rFonts w:asciiTheme="majorHAnsi" w:hAnsiTheme="majorHAnsi" w:cstheme="majorHAnsi"/>
                <w:lang w:val="en-US"/>
              </w:rPr>
              <w:t xml:space="preserve"> </w:t>
            </w:r>
          </w:p>
          <w:p w14:paraId="03044DB7" w14:textId="77777777" w:rsidR="006D4E2F" w:rsidRPr="0014556C" w:rsidRDefault="006D4E2F" w:rsidP="00095237">
            <w:pPr>
              <w:rPr>
                <w:rFonts w:asciiTheme="majorHAnsi" w:hAnsiTheme="majorHAnsi" w:cstheme="majorHAnsi"/>
                <w:lang w:val="en-US"/>
              </w:rPr>
            </w:pPr>
          </w:p>
        </w:tc>
      </w:tr>
      <w:tr w:rsidR="006D4E2F" w:rsidRPr="0014556C" w14:paraId="5D395AD0" w14:textId="77777777" w:rsidTr="006D4E2F">
        <w:tc>
          <w:tcPr>
            <w:tcW w:w="2879" w:type="dxa"/>
          </w:tcPr>
          <w:p w14:paraId="6C39396F" w14:textId="23366A61"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Denmark</w:t>
            </w:r>
          </w:p>
        </w:tc>
        <w:tc>
          <w:tcPr>
            <w:tcW w:w="2879" w:type="dxa"/>
          </w:tcPr>
          <w:p w14:paraId="6A5D471D" w14:textId="1A042315"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 xml:space="preserve">BRIC - </w:t>
            </w:r>
            <w:r w:rsidRPr="0014556C">
              <w:rPr>
                <w:rFonts w:asciiTheme="majorHAnsi" w:hAnsiTheme="majorHAnsi" w:cstheme="majorHAnsi"/>
              </w:rPr>
              <w:t>Core Facility for High-Content CRISPR Screens (HCCS)</w:t>
            </w:r>
          </w:p>
        </w:tc>
        <w:tc>
          <w:tcPr>
            <w:tcW w:w="2879" w:type="dxa"/>
          </w:tcPr>
          <w:p w14:paraId="177E240A" w14:textId="2BC2A04A" w:rsidR="006D4E2F" w:rsidRPr="0014556C" w:rsidRDefault="00000000" w:rsidP="006D4E2F">
            <w:pPr>
              <w:pStyle w:val="NormalWeb"/>
              <w:jc w:val="both"/>
              <w:rPr>
                <w:rFonts w:asciiTheme="majorHAnsi" w:hAnsiTheme="majorHAnsi" w:cstheme="majorHAnsi"/>
              </w:rPr>
            </w:pPr>
            <w:hyperlink r:id="rId21" w:history="1">
              <w:r w:rsidR="006D4E2F" w:rsidRPr="0014556C">
                <w:rPr>
                  <w:rStyle w:val="Hyperlink"/>
                  <w:rFonts w:asciiTheme="majorHAnsi" w:hAnsiTheme="majorHAnsi" w:cstheme="majorHAnsi"/>
                </w:rPr>
                <w:t>https://www.bric.ku.dk/core-facilities/high-content-crispr-screens-hccs/</w:t>
              </w:r>
            </w:hyperlink>
          </w:p>
        </w:tc>
      </w:tr>
      <w:tr w:rsidR="006D4E2F" w:rsidRPr="0014556C" w14:paraId="2870E29B" w14:textId="77777777" w:rsidTr="006D4E2F">
        <w:tc>
          <w:tcPr>
            <w:tcW w:w="2879" w:type="dxa"/>
          </w:tcPr>
          <w:p w14:paraId="7C5DCCD4" w14:textId="62AA69F8"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United Kingdom</w:t>
            </w:r>
          </w:p>
        </w:tc>
        <w:tc>
          <w:tcPr>
            <w:tcW w:w="2879" w:type="dxa"/>
          </w:tcPr>
          <w:p w14:paraId="3587D71B" w14:textId="2590663A" w:rsidR="006D4E2F" w:rsidRPr="0014556C" w:rsidRDefault="006D4E2F" w:rsidP="00095237">
            <w:pPr>
              <w:rPr>
                <w:rFonts w:asciiTheme="majorHAnsi" w:hAnsiTheme="majorHAnsi" w:cstheme="majorHAnsi"/>
                <w:lang w:val="en-US"/>
              </w:rPr>
            </w:pPr>
            <w:r w:rsidRPr="0014556C">
              <w:rPr>
                <w:rFonts w:asciiTheme="majorHAnsi" w:hAnsiTheme="majorHAnsi" w:cstheme="majorHAnsi"/>
                <w:lang w:val="en-US"/>
              </w:rPr>
              <w:t>University of Cambridge</w:t>
            </w:r>
            <w:r w:rsidR="00CE7C6E" w:rsidRPr="0014556C">
              <w:rPr>
                <w:rFonts w:asciiTheme="majorHAnsi" w:hAnsiTheme="majorHAnsi" w:cstheme="majorHAnsi"/>
                <w:lang w:val="en-US"/>
              </w:rPr>
              <w:t>/AstraZeneca</w:t>
            </w:r>
            <w:r w:rsidRPr="0014556C">
              <w:rPr>
                <w:rFonts w:asciiTheme="majorHAnsi" w:hAnsiTheme="majorHAnsi" w:cstheme="majorHAnsi"/>
                <w:lang w:val="en-US"/>
              </w:rPr>
              <w:t xml:space="preserve"> - </w:t>
            </w:r>
            <w:r w:rsidRPr="0014556C">
              <w:rPr>
                <w:rFonts w:asciiTheme="majorHAnsi" w:hAnsiTheme="majorHAnsi" w:cstheme="majorHAnsi"/>
              </w:rPr>
              <w:t>Functional Genomics Screening Laboratory</w:t>
            </w:r>
          </w:p>
        </w:tc>
        <w:tc>
          <w:tcPr>
            <w:tcW w:w="2879" w:type="dxa"/>
          </w:tcPr>
          <w:p w14:paraId="21D8DF5B" w14:textId="77777777" w:rsidR="006D4E2F" w:rsidRPr="0014556C" w:rsidRDefault="00000000" w:rsidP="006D4E2F">
            <w:pPr>
              <w:rPr>
                <w:rStyle w:val="Hyperlink"/>
                <w:rFonts w:asciiTheme="majorHAnsi" w:hAnsiTheme="majorHAnsi" w:cstheme="majorHAnsi"/>
              </w:rPr>
            </w:pPr>
            <w:hyperlink r:id="rId22" w:history="1">
              <w:r w:rsidR="006D4E2F" w:rsidRPr="0014556C">
                <w:rPr>
                  <w:rStyle w:val="Hyperlink"/>
                  <w:rFonts w:asciiTheme="majorHAnsi" w:hAnsiTheme="majorHAnsi" w:cstheme="majorHAnsi"/>
                </w:rPr>
                <w:t>https://ncats.nih.gov/research/research-activities/functional-genomics-lab</w:t>
              </w:r>
            </w:hyperlink>
          </w:p>
          <w:p w14:paraId="3753E47A" w14:textId="77777777" w:rsidR="006D4E2F" w:rsidRPr="0014556C" w:rsidRDefault="006D4E2F" w:rsidP="00095237">
            <w:pPr>
              <w:rPr>
                <w:rFonts w:asciiTheme="majorHAnsi" w:hAnsiTheme="majorHAnsi" w:cstheme="majorHAnsi"/>
                <w:lang w:val="en-US"/>
              </w:rPr>
            </w:pPr>
          </w:p>
        </w:tc>
      </w:tr>
      <w:tr w:rsidR="00322045" w:rsidRPr="0014556C" w14:paraId="421F8F9A" w14:textId="77777777" w:rsidTr="006D4E2F">
        <w:tc>
          <w:tcPr>
            <w:tcW w:w="2879" w:type="dxa"/>
          </w:tcPr>
          <w:p w14:paraId="12C0CA6D" w14:textId="35506849" w:rsidR="00322045" w:rsidRPr="0014556C" w:rsidRDefault="00322045" w:rsidP="00095237">
            <w:pPr>
              <w:rPr>
                <w:rFonts w:asciiTheme="majorHAnsi" w:hAnsiTheme="majorHAnsi" w:cstheme="majorHAnsi"/>
                <w:lang w:val="en-US"/>
              </w:rPr>
            </w:pPr>
            <w:r w:rsidRPr="0014556C">
              <w:rPr>
                <w:rFonts w:asciiTheme="majorHAnsi" w:hAnsiTheme="majorHAnsi" w:cstheme="majorHAnsi"/>
                <w:lang w:val="en-US"/>
              </w:rPr>
              <w:t>Germany</w:t>
            </w:r>
          </w:p>
        </w:tc>
        <w:tc>
          <w:tcPr>
            <w:tcW w:w="2879" w:type="dxa"/>
          </w:tcPr>
          <w:p w14:paraId="092283E1" w14:textId="433CD419" w:rsidR="00322045" w:rsidRPr="0014556C" w:rsidRDefault="00322045" w:rsidP="00B24F47">
            <w:pPr>
              <w:rPr>
                <w:rFonts w:asciiTheme="majorHAnsi" w:hAnsiTheme="majorHAnsi" w:cstheme="majorHAnsi"/>
                <w:b/>
                <w:lang w:val="en-US"/>
              </w:rPr>
            </w:pPr>
            <w:r w:rsidRPr="0014556C">
              <w:rPr>
                <w:rFonts w:asciiTheme="majorHAnsi" w:hAnsiTheme="majorHAnsi" w:cstheme="majorHAnsi"/>
                <w:lang w:val="en-US"/>
              </w:rPr>
              <w:t>Max Planck Institute – CRISPR Screening Core Facility</w:t>
            </w:r>
          </w:p>
        </w:tc>
        <w:tc>
          <w:tcPr>
            <w:tcW w:w="2879" w:type="dxa"/>
          </w:tcPr>
          <w:p w14:paraId="0C29FEC5" w14:textId="7FBAF48C" w:rsidR="00322045" w:rsidRPr="0014556C" w:rsidRDefault="00000000" w:rsidP="006D4E2F">
            <w:pPr>
              <w:rPr>
                <w:rFonts w:asciiTheme="majorHAnsi" w:hAnsiTheme="majorHAnsi" w:cstheme="majorHAnsi"/>
              </w:rPr>
            </w:pPr>
            <w:hyperlink r:id="rId23" w:history="1">
              <w:r w:rsidR="00322045" w:rsidRPr="0014556C">
                <w:rPr>
                  <w:rStyle w:val="Hyperlink"/>
                  <w:rFonts w:asciiTheme="majorHAnsi" w:hAnsiTheme="majorHAnsi" w:cstheme="majorHAnsi"/>
                </w:rPr>
                <w:t>https://www.age.mpg.de/crispr-screening</w:t>
              </w:r>
            </w:hyperlink>
            <w:r w:rsidR="00322045" w:rsidRPr="0014556C">
              <w:rPr>
                <w:rFonts w:asciiTheme="majorHAnsi" w:hAnsiTheme="majorHAnsi" w:cstheme="majorHAnsi"/>
              </w:rPr>
              <w:t xml:space="preserve"> </w:t>
            </w:r>
          </w:p>
        </w:tc>
      </w:tr>
    </w:tbl>
    <w:p w14:paraId="6EB30E44" w14:textId="77777777" w:rsidR="006D4E2F" w:rsidRPr="0014556C" w:rsidRDefault="006D4E2F" w:rsidP="00095237">
      <w:pPr>
        <w:rPr>
          <w:rFonts w:asciiTheme="majorHAnsi" w:hAnsiTheme="majorHAnsi" w:cstheme="majorHAnsi"/>
          <w:lang w:val="en-US"/>
        </w:rPr>
      </w:pPr>
    </w:p>
    <w:p w14:paraId="33B01D15" w14:textId="19198F3D" w:rsidR="00095237" w:rsidRPr="0014556C" w:rsidRDefault="00322045" w:rsidP="00095237">
      <w:pPr>
        <w:rPr>
          <w:rFonts w:asciiTheme="majorHAnsi" w:hAnsiTheme="majorHAnsi" w:cstheme="majorHAnsi"/>
          <w:lang w:val="en-US"/>
        </w:rPr>
      </w:pPr>
      <w:r w:rsidRPr="0014556C">
        <w:rPr>
          <w:rFonts w:asciiTheme="majorHAnsi" w:hAnsiTheme="majorHAnsi" w:cstheme="majorHAnsi"/>
          <w:lang w:val="en-US"/>
        </w:rPr>
        <w:t>More details of each of these facilities are included below:</w:t>
      </w:r>
    </w:p>
    <w:p w14:paraId="541C02DB" w14:textId="77777777" w:rsidR="00322045" w:rsidRPr="0014556C" w:rsidRDefault="00322045" w:rsidP="00095237">
      <w:pPr>
        <w:rPr>
          <w:lang w:val="en-US"/>
        </w:rPr>
      </w:pPr>
    </w:p>
    <w:p w14:paraId="2F83E040" w14:textId="652B65D5" w:rsidR="00EE1E9C" w:rsidRPr="0014556C" w:rsidRDefault="00EE1E9C" w:rsidP="004D455C">
      <w:pPr>
        <w:pStyle w:val="Heading3"/>
        <w:rPr>
          <w:lang w:val="en-US"/>
        </w:rPr>
      </w:pPr>
      <w:bookmarkStart w:id="12" w:name="_Toc170418872"/>
      <w:r w:rsidRPr="0014556C">
        <w:rPr>
          <w:lang w:val="en-US"/>
        </w:rPr>
        <w:t>France</w:t>
      </w:r>
      <w:bookmarkEnd w:id="12"/>
    </w:p>
    <w:p w14:paraId="73448BDB" w14:textId="77777777" w:rsidR="00EE1E9C" w:rsidRPr="0014556C" w:rsidRDefault="00EE1E9C" w:rsidP="00EE1E9C">
      <w:pPr>
        <w:rPr>
          <w:rFonts w:asciiTheme="majorHAnsi" w:hAnsiTheme="majorHAnsi" w:cstheme="majorHAnsi"/>
          <w:b/>
          <w:bCs/>
          <w:lang w:val="en-US"/>
        </w:rPr>
      </w:pPr>
    </w:p>
    <w:p w14:paraId="67F0B141" w14:textId="38E0B5E6" w:rsidR="00EE1E9C" w:rsidRPr="0014556C" w:rsidRDefault="00BB2F22" w:rsidP="00EE1E9C">
      <w:pPr>
        <w:jc w:val="both"/>
        <w:rPr>
          <w:rStyle w:val="Strong"/>
          <w:rFonts w:asciiTheme="majorHAnsi" w:hAnsiTheme="majorHAnsi" w:cstheme="majorHAnsi"/>
          <w:b w:val="0"/>
          <w:bCs w:val="0"/>
        </w:rPr>
      </w:pPr>
      <w:r w:rsidRPr="0014556C">
        <w:rPr>
          <w:rFonts w:asciiTheme="majorHAnsi" w:hAnsiTheme="majorHAnsi" w:cstheme="majorHAnsi"/>
        </w:rPr>
        <w:t>The Institute of Genetics and Molecular and Cellular Biology (</w:t>
      </w:r>
      <w:r w:rsidR="00EE1E9C" w:rsidRPr="0014556C">
        <w:rPr>
          <w:rStyle w:val="Strong"/>
          <w:rFonts w:asciiTheme="majorHAnsi" w:hAnsiTheme="majorHAnsi" w:cstheme="majorHAnsi"/>
          <w:b w:val="0"/>
          <w:bCs w:val="0"/>
        </w:rPr>
        <w:t>IGBMC</w:t>
      </w:r>
      <w:r w:rsidRPr="0014556C">
        <w:rPr>
          <w:rStyle w:val="Strong"/>
          <w:rFonts w:asciiTheme="majorHAnsi" w:hAnsiTheme="majorHAnsi" w:cstheme="majorHAnsi"/>
          <w:b w:val="0"/>
          <w:bCs w:val="0"/>
        </w:rPr>
        <w:t>) has a</w:t>
      </w:r>
      <w:r w:rsidR="00EE1E9C" w:rsidRPr="0014556C">
        <w:rPr>
          <w:rStyle w:val="Strong"/>
          <w:rFonts w:asciiTheme="majorHAnsi" w:hAnsiTheme="majorHAnsi" w:cstheme="majorHAnsi"/>
          <w:b w:val="0"/>
          <w:bCs w:val="0"/>
        </w:rPr>
        <w:t xml:space="preserve"> high throughput cell screening platform</w:t>
      </w:r>
      <w:r w:rsidRPr="0014556C">
        <w:rPr>
          <w:rStyle w:val="Strong"/>
          <w:rFonts w:asciiTheme="majorHAnsi" w:hAnsiTheme="majorHAnsi" w:cstheme="majorHAnsi"/>
          <w:b w:val="0"/>
          <w:bCs w:val="0"/>
        </w:rPr>
        <w:t xml:space="preserve">, at the </w:t>
      </w:r>
      <w:proofErr w:type="spellStart"/>
      <w:r w:rsidRPr="0014556C">
        <w:rPr>
          <w:rFonts w:asciiTheme="majorHAnsi" w:hAnsiTheme="majorHAnsi" w:cstheme="majorHAnsi"/>
        </w:rPr>
        <w:t>Illkirch-Graffenstaden</w:t>
      </w:r>
      <w:proofErr w:type="spellEnd"/>
      <w:r w:rsidRPr="0014556C">
        <w:rPr>
          <w:rFonts w:asciiTheme="majorHAnsi" w:hAnsiTheme="majorHAnsi" w:cstheme="majorHAnsi"/>
        </w:rPr>
        <w:t xml:space="preserve"> Innovation Park in Strasbourg. This platform</w:t>
      </w:r>
      <w:r w:rsidR="00EE1E9C" w:rsidRPr="0014556C">
        <w:rPr>
          <w:rStyle w:val="Strong"/>
          <w:rFonts w:asciiTheme="majorHAnsi" w:hAnsiTheme="majorHAnsi" w:cstheme="majorHAnsi"/>
          <w:b w:val="0"/>
          <w:bCs w:val="0"/>
        </w:rPr>
        <w:t xml:space="preserve"> provides researchers with an infrastructure for high cell content analysis and a global solution for loss/gain of function genetic screens.</w:t>
      </w:r>
      <w:r w:rsidRPr="0014556C">
        <w:rPr>
          <w:rStyle w:val="Strong"/>
          <w:rFonts w:asciiTheme="majorHAnsi" w:hAnsiTheme="majorHAnsi" w:cstheme="majorHAnsi"/>
          <w:b w:val="0"/>
          <w:bCs w:val="0"/>
        </w:rPr>
        <w:t xml:space="preserve"> Services are primarily focused medical research and on human and mouse models.</w:t>
      </w:r>
    </w:p>
    <w:p w14:paraId="1750C5A8" w14:textId="77777777" w:rsidR="00EE1E9C" w:rsidRPr="0014556C" w:rsidRDefault="00EE1E9C" w:rsidP="00EE1E9C">
      <w:pPr>
        <w:jc w:val="both"/>
        <w:rPr>
          <w:rStyle w:val="Strong"/>
          <w:rFonts w:asciiTheme="majorHAnsi" w:hAnsiTheme="majorHAnsi" w:cstheme="majorHAnsi"/>
          <w:b w:val="0"/>
          <w:bCs w:val="0"/>
        </w:rPr>
      </w:pPr>
    </w:p>
    <w:p w14:paraId="6921322E" w14:textId="123DB029" w:rsidR="00EE1E9C" w:rsidRPr="0014556C" w:rsidRDefault="00EE1E9C" w:rsidP="00EE1E9C">
      <w:pPr>
        <w:jc w:val="both"/>
        <w:rPr>
          <w:rStyle w:val="Strong"/>
          <w:rFonts w:asciiTheme="majorHAnsi" w:hAnsiTheme="majorHAnsi" w:cstheme="majorHAnsi"/>
          <w:b w:val="0"/>
          <w:bCs w:val="0"/>
        </w:rPr>
      </w:pPr>
      <w:r w:rsidRPr="0014556C">
        <w:rPr>
          <w:rStyle w:val="Strong"/>
          <w:rFonts w:asciiTheme="majorHAnsi" w:hAnsiTheme="majorHAnsi" w:cstheme="majorHAnsi"/>
          <w:b w:val="0"/>
          <w:bCs w:val="0"/>
        </w:rPr>
        <w:t>The services they provide are:</w:t>
      </w:r>
    </w:p>
    <w:p w14:paraId="525C8575" w14:textId="77777777" w:rsidR="00EE1E9C" w:rsidRPr="0014556C" w:rsidRDefault="00EE1E9C" w:rsidP="00EE1E9C">
      <w:pPr>
        <w:numPr>
          <w:ilvl w:val="0"/>
          <w:numId w:val="47"/>
        </w:numPr>
        <w:spacing w:before="100" w:beforeAutospacing="1" w:after="100" w:afterAutospacing="1"/>
        <w:rPr>
          <w:rFonts w:asciiTheme="majorHAnsi" w:hAnsiTheme="majorHAnsi" w:cstheme="majorHAnsi"/>
        </w:rPr>
      </w:pPr>
      <w:r w:rsidRPr="0014556C">
        <w:rPr>
          <w:rFonts w:asciiTheme="majorHAnsi" w:hAnsiTheme="majorHAnsi" w:cstheme="majorHAnsi"/>
        </w:rPr>
        <w:t>The development of cellular tests  </w:t>
      </w:r>
    </w:p>
    <w:p w14:paraId="4278B212" w14:textId="77777777" w:rsidR="00EE1E9C" w:rsidRPr="0014556C" w:rsidRDefault="00EE1E9C" w:rsidP="00EE1E9C">
      <w:pPr>
        <w:numPr>
          <w:ilvl w:val="0"/>
          <w:numId w:val="47"/>
        </w:numPr>
        <w:spacing w:before="100" w:beforeAutospacing="1" w:after="100" w:afterAutospacing="1"/>
        <w:rPr>
          <w:rFonts w:asciiTheme="majorHAnsi" w:hAnsiTheme="majorHAnsi" w:cstheme="majorHAnsi"/>
        </w:rPr>
      </w:pPr>
      <w:r w:rsidRPr="0014556C">
        <w:rPr>
          <w:rFonts w:asciiTheme="majorHAnsi" w:hAnsiTheme="majorHAnsi" w:cstheme="majorHAnsi"/>
        </w:rPr>
        <w:t>The development of methods for analysing cellular phenotypes  </w:t>
      </w:r>
    </w:p>
    <w:p w14:paraId="2B542AD7" w14:textId="77777777" w:rsidR="00EE1E9C" w:rsidRPr="0014556C" w:rsidRDefault="00EE1E9C" w:rsidP="00EE1E9C">
      <w:pPr>
        <w:numPr>
          <w:ilvl w:val="0"/>
          <w:numId w:val="47"/>
        </w:numPr>
        <w:spacing w:before="100" w:beforeAutospacing="1" w:after="100" w:afterAutospacing="1"/>
        <w:rPr>
          <w:rFonts w:asciiTheme="majorHAnsi" w:hAnsiTheme="majorHAnsi" w:cstheme="majorHAnsi"/>
        </w:rPr>
      </w:pPr>
      <w:r w:rsidRPr="0014556C">
        <w:rPr>
          <w:rFonts w:asciiTheme="majorHAnsi" w:hAnsiTheme="majorHAnsi" w:cstheme="majorHAnsi"/>
        </w:rPr>
        <w:t>HCS/HTS screening of siRNA libraries (</w:t>
      </w:r>
      <w:proofErr w:type="spellStart"/>
      <w:r w:rsidRPr="0014556C">
        <w:rPr>
          <w:rFonts w:asciiTheme="majorHAnsi" w:hAnsiTheme="majorHAnsi" w:cstheme="majorHAnsi"/>
        </w:rPr>
        <w:t>kinome</w:t>
      </w:r>
      <w:proofErr w:type="spellEnd"/>
      <w:r w:rsidRPr="0014556C">
        <w:rPr>
          <w:rFonts w:asciiTheme="majorHAnsi" w:hAnsiTheme="majorHAnsi" w:cstheme="majorHAnsi"/>
        </w:rPr>
        <w:t xml:space="preserve"> to genome) on mammalian cells</w:t>
      </w:r>
    </w:p>
    <w:p w14:paraId="56FC4CD3" w14:textId="77777777" w:rsidR="00EE1E9C" w:rsidRPr="0014556C" w:rsidRDefault="00EE1E9C" w:rsidP="00EE1E9C">
      <w:pPr>
        <w:numPr>
          <w:ilvl w:val="0"/>
          <w:numId w:val="47"/>
        </w:numPr>
        <w:spacing w:before="100" w:beforeAutospacing="1" w:after="100" w:afterAutospacing="1"/>
        <w:rPr>
          <w:rFonts w:asciiTheme="majorHAnsi" w:hAnsiTheme="majorHAnsi" w:cstheme="majorHAnsi"/>
        </w:rPr>
      </w:pPr>
      <w:r w:rsidRPr="0014556C">
        <w:rPr>
          <w:rFonts w:asciiTheme="majorHAnsi" w:hAnsiTheme="majorHAnsi" w:cstheme="majorHAnsi"/>
        </w:rPr>
        <w:t>Positive and negative selection screening of pan-genomic CRISPR-Cas9 lentiviral libraries (KO, activation, repression) in mammalian cells</w:t>
      </w:r>
    </w:p>
    <w:p w14:paraId="437B01DA" w14:textId="020A2D2D" w:rsidR="00EE1E9C" w:rsidRPr="0014556C" w:rsidRDefault="00EE1E9C" w:rsidP="00EE1E9C">
      <w:pPr>
        <w:numPr>
          <w:ilvl w:val="0"/>
          <w:numId w:val="47"/>
        </w:numPr>
        <w:spacing w:before="100" w:beforeAutospacing="1" w:after="100" w:afterAutospacing="1"/>
        <w:rPr>
          <w:rFonts w:asciiTheme="majorHAnsi" w:hAnsiTheme="majorHAnsi" w:cstheme="majorHAnsi"/>
        </w:rPr>
      </w:pPr>
      <w:r w:rsidRPr="0014556C">
        <w:rPr>
          <w:rFonts w:asciiTheme="majorHAnsi" w:hAnsiTheme="majorHAnsi" w:cstheme="majorHAnsi"/>
        </w:rPr>
        <w:t>HCS/HTS screening of chemical molecules in mammalian cells</w:t>
      </w:r>
    </w:p>
    <w:p w14:paraId="46196B47" w14:textId="4D81E009" w:rsidR="00EE1E9C" w:rsidRPr="0014556C" w:rsidRDefault="00EE1E9C" w:rsidP="00EE1E9C">
      <w:pPr>
        <w:rPr>
          <w:rFonts w:asciiTheme="majorHAnsi" w:hAnsiTheme="majorHAnsi" w:cstheme="majorHAnsi"/>
          <w:lang w:val="en-US"/>
        </w:rPr>
      </w:pPr>
      <w:r w:rsidRPr="0014556C">
        <w:rPr>
          <w:rFonts w:asciiTheme="majorHAnsi" w:hAnsiTheme="majorHAnsi" w:cstheme="majorHAnsi"/>
          <w:lang w:val="en-US"/>
        </w:rPr>
        <w:t>More details are available via the</w:t>
      </w:r>
      <w:r w:rsidR="00ED52E8" w:rsidRPr="0014556C">
        <w:rPr>
          <w:rFonts w:asciiTheme="majorHAnsi" w:hAnsiTheme="majorHAnsi" w:cstheme="majorHAnsi"/>
          <w:lang w:val="en-US"/>
        </w:rPr>
        <w:t>i</w:t>
      </w:r>
      <w:r w:rsidRPr="0014556C">
        <w:rPr>
          <w:rFonts w:asciiTheme="majorHAnsi" w:hAnsiTheme="majorHAnsi" w:cstheme="majorHAnsi"/>
          <w:lang w:val="en-US"/>
        </w:rPr>
        <w:t>r webpages:</w:t>
      </w:r>
    </w:p>
    <w:p w14:paraId="23291C74" w14:textId="77777777" w:rsidR="00BB2F22" w:rsidRPr="0014556C" w:rsidRDefault="00BB2F22" w:rsidP="00EE1E9C">
      <w:pPr>
        <w:rPr>
          <w:rFonts w:asciiTheme="majorHAnsi" w:hAnsiTheme="majorHAnsi" w:cstheme="majorHAnsi"/>
          <w:lang w:val="en-US"/>
        </w:rPr>
      </w:pPr>
    </w:p>
    <w:p w14:paraId="76E8E998" w14:textId="6102DE5C" w:rsidR="00EE1E9C" w:rsidRPr="0014556C" w:rsidRDefault="00000000" w:rsidP="00EE1E9C">
      <w:pPr>
        <w:rPr>
          <w:rFonts w:asciiTheme="majorHAnsi" w:hAnsiTheme="majorHAnsi" w:cstheme="majorHAnsi"/>
          <w:lang w:val="en-US"/>
        </w:rPr>
      </w:pPr>
      <w:hyperlink r:id="rId24" w:history="1">
        <w:r w:rsidR="00EE1E9C" w:rsidRPr="0014556C">
          <w:rPr>
            <w:rStyle w:val="Hyperlink"/>
            <w:rFonts w:asciiTheme="majorHAnsi" w:hAnsiTheme="majorHAnsi" w:cstheme="majorHAnsi"/>
            <w:lang w:val="en-US"/>
          </w:rPr>
          <w:t>https://www.igbmc.fr/en/plateforms-and-services/platforms/high-throughput-cell-screening</w:t>
        </w:r>
      </w:hyperlink>
      <w:r w:rsidR="00EE1E9C" w:rsidRPr="0014556C">
        <w:rPr>
          <w:rFonts w:asciiTheme="majorHAnsi" w:hAnsiTheme="majorHAnsi" w:cstheme="majorHAnsi"/>
          <w:lang w:val="en-US"/>
        </w:rPr>
        <w:t xml:space="preserve"> </w:t>
      </w:r>
    </w:p>
    <w:p w14:paraId="49FCE434" w14:textId="77777777" w:rsidR="00BB2F22" w:rsidRPr="0014556C" w:rsidRDefault="00BB2F22" w:rsidP="00EE1E9C">
      <w:pPr>
        <w:rPr>
          <w:rFonts w:asciiTheme="majorHAnsi" w:hAnsiTheme="majorHAnsi" w:cstheme="majorHAnsi"/>
          <w:lang w:val="en-US"/>
        </w:rPr>
      </w:pPr>
    </w:p>
    <w:p w14:paraId="613E4BB0" w14:textId="47EDEAFA" w:rsidR="00E965AE" w:rsidRPr="0014556C" w:rsidRDefault="00D74CC6" w:rsidP="004D455C">
      <w:pPr>
        <w:pStyle w:val="Heading3"/>
        <w:rPr>
          <w:lang w:val="en-US"/>
        </w:rPr>
      </w:pPr>
      <w:bookmarkStart w:id="13" w:name="_Toc170418873"/>
      <w:r w:rsidRPr="0014556C">
        <w:rPr>
          <w:lang w:val="en-US"/>
        </w:rPr>
        <w:t>Denmark</w:t>
      </w:r>
      <w:bookmarkEnd w:id="13"/>
    </w:p>
    <w:p w14:paraId="1BE85C4E" w14:textId="0117522B" w:rsidR="00D74CC6" w:rsidRPr="0014556C" w:rsidRDefault="00D74CC6" w:rsidP="00D74CC6">
      <w:pPr>
        <w:pStyle w:val="NormalWeb"/>
        <w:jc w:val="both"/>
        <w:rPr>
          <w:rFonts w:asciiTheme="majorHAnsi" w:hAnsiTheme="majorHAnsi" w:cstheme="majorHAnsi"/>
        </w:rPr>
      </w:pPr>
      <w:r w:rsidRPr="0014556C">
        <w:rPr>
          <w:rFonts w:asciiTheme="majorHAnsi" w:hAnsiTheme="majorHAnsi" w:cstheme="majorHAnsi"/>
        </w:rPr>
        <w:t xml:space="preserve">The Biotech Research and Innovation Centre (BRIC), within the University of Copenhagen has a Core Facility for High-Content CRISPR Screens (HCCS) that offers assay automation </w:t>
      </w:r>
      <w:r w:rsidRPr="0014556C">
        <w:rPr>
          <w:rFonts w:asciiTheme="majorHAnsi" w:hAnsiTheme="majorHAnsi" w:cstheme="majorHAnsi"/>
        </w:rPr>
        <w:lastRenderedPageBreak/>
        <w:t xml:space="preserve">and cell-based screening to BRIC, the University of Copenhagen and external researchers. Their flexible and state-of-the-art screening platform </w:t>
      </w:r>
      <w:r w:rsidR="00EE1E9C" w:rsidRPr="0014556C">
        <w:rPr>
          <w:rFonts w:asciiTheme="majorHAnsi" w:hAnsiTheme="majorHAnsi" w:cstheme="majorHAnsi"/>
        </w:rPr>
        <w:t>provides</w:t>
      </w:r>
      <w:r w:rsidRPr="0014556C">
        <w:rPr>
          <w:rFonts w:asciiTheme="majorHAnsi" w:hAnsiTheme="majorHAnsi" w:cstheme="majorHAnsi"/>
        </w:rPr>
        <w:t xml:space="preserve"> a wide variety of automated assays for human research projects.</w:t>
      </w:r>
    </w:p>
    <w:p w14:paraId="3C29DCA0" w14:textId="15861B6E" w:rsidR="00D74CC6" w:rsidRPr="0014556C" w:rsidRDefault="00D74CC6" w:rsidP="00D74CC6">
      <w:pPr>
        <w:pStyle w:val="NormalWeb"/>
        <w:jc w:val="both"/>
        <w:rPr>
          <w:rFonts w:asciiTheme="majorHAnsi" w:hAnsiTheme="majorHAnsi" w:cstheme="majorHAnsi"/>
        </w:rPr>
      </w:pPr>
      <w:r w:rsidRPr="0014556C">
        <w:rPr>
          <w:rFonts w:asciiTheme="majorHAnsi" w:hAnsiTheme="majorHAnsi" w:cstheme="majorHAnsi"/>
        </w:rPr>
        <w:t>Customized screens</w:t>
      </w:r>
      <w:r w:rsidR="00EE1E9C" w:rsidRPr="0014556C">
        <w:rPr>
          <w:rFonts w:asciiTheme="majorHAnsi" w:hAnsiTheme="majorHAnsi" w:cstheme="majorHAnsi"/>
        </w:rPr>
        <w:t xml:space="preserve"> that</w:t>
      </w:r>
      <w:r w:rsidRPr="0014556C">
        <w:rPr>
          <w:rFonts w:asciiTheme="majorHAnsi" w:hAnsiTheme="majorHAnsi" w:cstheme="majorHAnsi"/>
        </w:rPr>
        <w:t xml:space="preserve"> can be performed in 96-and 384-well </w:t>
      </w:r>
      <w:proofErr w:type="spellStart"/>
      <w:r w:rsidRPr="0014556C">
        <w:rPr>
          <w:rFonts w:asciiTheme="majorHAnsi" w:hAnsiTheme="majorHAnsi" w:cstheme="majorHAnsi"/>
        </w:rPr>
        <w:t>microtitre</w:t>
      </w:r>
      <w:proofErr w:type="spellEnd"/>
      <w:r w:rsidRPr="0014556C">
        <w:rPr>
          <w:rFonts w:asciiTheme="majorHAnsi" w:hAnsiTheme="majorHAnsi" w:cstheme="majorHAnsi"/>
        </w:rPr>
        <w:t xml:space="preserve"> plate format utiliz</w:t>
      </w:r>
      <w:r w:rsidR="00EE1E9C" w:rsidRPr="0014556C">
        <w:rPr>
          <w:rFonts w:asciiTheme="majorHAnsi" w:hAnsiTheme="majorHAnsi" w:cstheme="majorHAnsi"/>
        </w:rPr>
        <w:t>e</w:t>
      </w:r>
      <w:r w:rsidRPr="0014556C">
        <w:rPr>
          <w:rFonts w:asciiTheme="majorHAnsi" w:hAnsiTheme="majorHAnsi" w:cstheme="majorHAnsi"/>
        </w:rPr>
        <w:t xml:space="preserve"> immunofluorescence/fluorescent markers, luminescence or qPCR as readout. They offer customized screening plates from a genome wide single guide RNA (sgRNA) CRISPR library</w:t>
      </w:r>
      <w:r w:rsidR="00256858" w:rsidRPr="0014556C">
        <w:rPr>
          <w:rFonts w:asciiTheme="majorHAnsi" w:hAnsiTheme="majorHAnsi" w:cstheme="majorHAnsi"/>
        </w:rPr>
        <w:t xml:space="preserve"> and</w:t>
      </w:r>
      <w:r w:rsidRPr="0014556C">
        <w:rPr>
          <w:rFonts w:asciiTheme="majorHAnsi" w:hAnsiTheme="majorHAnsi" w:cstheme="majorHAnsi"/>
        </w:rPr>
        <w:t xml:space="preserve"> have several human siRNA libraries readily available.</w:t>
      </w:r>
    </w:p>
    <w:p w14:paraId="0E2F392E" w14:textId="6BECB308" w:rsidR="00D74CC6" w:rsidRPr="0014556C" w:rsidRDefault="00D74CC6" w:rsidP="00D74CC6">
      <w:pPr>
        <w:pStyle w:val="NormalWeb"/>
        <w:jc w:val="both"/>
        <w:rPr>
          <w:rFonts w:asciiTheme="majorHAnsi" w:hAnsiTheme="majorHAnsi" w:cstheme="majorHAnsi"/>
        </w:rPr>
      </w:pPr>
      <w:r w:rsidRPr="0014556C">
        <w:rPr>
          <w:rFonts w:asciiTheme="majorHAnsi" w:hAnsiTheme="majorHAnsi" w:cstheme="majorHAnsi"/>
        </w:rPr>
        <w:t>More details are available on the</w:t>
      </w:r>
      <w:r w:rsidR="00256858" w:rsidRPr="0014556C">
        <w:rPr>
          <w:rFonts w:asciiTheme="majorHAnsi" w:hAnsiTheme="majorHAnsi" w:cstheme="majorHAnsi"/>
        </w:rPr>
        <w:t xml:space="preserve">ir </w:t>
      </w:r>
      <w:r w:rsidRPr="0014556C">
        <w:rPr>
          <w:rFonts w:asciiTheme="majorHAnsi" w:hAnsiTheme="majorHAnsi" w:cstheme="majorHAnsi"/>
        </w:rPr>
        <w:t>web</w:t>
      </w:r>
      <w:r w:rsidR="00EE1E9C" w:rsidRPr="0014556C">
        <w:rPr>
          <w:rFonts w:asciiTheme="majorHAnsi" w:hAnsiTheme="majorHAnsi" w:cstheme="majorHAnsi"/>
        </w:rPr>
        <w:t>pages</w:t>
      </w:r>
      <w:r w:rsidRPr="0014556C">
        <w:rPr>
          <w:rFonts w:asciiTheme="majorHAnsi" w:hAnsiTheme="majorHAnsi" w:cstheme="majorHAnsi"/>
        </w:rPr>
        <w:t>:</w:t>
      </w:r>
    </w:p>
    <w:p w14:paraId="136CD7CF" w14:textId="4E28B364" w:rsidR="00D74CC6" w:rsidRPr="0014556C" w:rsidRDefault="00000000" w:rsidP="00D74CC6">
      <w:pPr>
        <w:pStyle w:val="NormalWeb"/>
        <w:jc w:val="both"/>
        <w:rPr>
          <w:rFonts w:asciiTheme="majorHAnsi" w:hAnsiTheme="majorHAnsi" w:cstheme="majorHAnsi"/>
        </w:rPr>
      </w:pPr>
      <w:hyperlink r:id="rId25" w:history="1">
        <w:r w:rsidR="00D74CC6" w:rsidRPr="0014556C">
          <w:rPr>
            <w:rStyle w:val="Hyperlink"/>
            <w:rFonts w:asciiTheme="majorHAnsi" w:hAnsiTheme="majorHAnsi" w:cstheme="majorHAnsi"/>
          </w:rPr>
          <w:t>https://www.bric.ku.dk/core-facilities/high-content-crispr-screens-hccs/</w:t>
        </w:r>
      </w:hyperlink>
    </w:p>
    <w:p w14:paraId="506622D1" w14:textId="5230DC7F" w:rsidR="00017C9E" w:rsidRPr="0014556C" w:rsidRDefault="00017C9E" w:rsidP="00D74CC6">
      <w:pPr>
        <w:pStyle w:val="NormalWeb"/>
        <w:jc w:val="both"/>
        <w:rPr>
          <w:rFonts w:asciiTheme="majorHAnsi" w:hAnsiTheme="majorHAnsi" w:cstheme="majorHAnsi"/>
        </w:rPr>
      </w:pPr>
      <w:r w:rsidRPr="0014556C">
        <w:rPr>
          <w:rFonts w:asciiTheme="majorHAnsi" w:hAnsiTheme="majorHAnsi" w:cstheme="majorHAnsi"/>
        </w:rPr>
        <w:t xml:space="preserve">They also provide a comprehensive set of pricing which is useful for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project for defining units of access for building similar capacity in farmed animals.</w:t>
      </w:r>
    </w:p>
    <w:p w14:paraId="2D62CFA0" w14:textId="7CE3856D" w:rsidR="001C79F5" w:rsidRPr="0014556C" w:rsidRDefault="00000000" w:rsidP="00D74CC6">
      <w:pPr>
        <w:pStyle w:val="NormalWeb"/>
        <w:jc w:val="both"/>
        <w:rPr>
          <w:rFonts w:asciiTheme="majorHAnsi" w:hAnsiTheme="majorHAnsi" w:cstheme="majorHAnsi"/>
        </w:rPr>
      </w:pPr>
      <w:hyperlink r:id="rId26" w:history="1">
        <w:r w:rsidR="00017C9E" w:rsidRPr="0014556C">
          <w:rPr>
            <w:rStyle w:val="Hyperlink"/>
            <w:rFonts w:asciiTheme="majorHAnsi" w:hAnsiTheme="majorHAnsi" w:cstheme="majorHAnsi"/>
          </w:rPr>
          <w:t>https://www.bric.ku.dk/core-facilities/high-content-crispr-screens-hccs/prices/</w:t>
        </w:r>
      </w:hyperlink>
    </w:p>
    <w:p w14:paraId="1270F65C" w14:textId="24526CFA" w:rsidR="001C79F5" w:rsidRPr="0014556C" w:rsidRDefault="001C79F5" w:rsidP="00D74CC6">
      <w:pPr>
        <w:pStyle w:val="NormalWeb"/>
        <w:jc w:val="both"/>
        <w:rPr>
          <w:rFonts w:asciiTheme="majorHAnsi" w:hAnsiTheme="majorHAnsi" w:cstheme="majorHAnsi"/>
        </w:rPr>
      </w:pPr>
      <w:r w:rsidRPr="0014556C">
        <w:rPr>
          <w:rFonts w:asciiTheme="majorHAnsi" w:hAnsiTheme="majorHAnsi" w:cstheme="majorHAnsi"/>
        </w:rPr>
        <w:t>The list of instruments within the facility at BRIC</w:t>
      </w:r>
      <w:r w:rsidR="00343271" w:rsidRPr="0014556C">
        <w:rPr>
          <w:rFonts w:asciiTheme="majorHAnsi" w:hAnsiTheme="majorHAnsi" w:cstheme="majorHAnsi"/>
        </w:rPr>
        <w:t xml:space="preserve"> (Figure 1)</w:t>
      </w:r>
      <w:r w:rsidRPr="0014556C">
        <w:rPr>
          <w:rFonts w:asciiTheme="majorHAnsi" w:hAnsiTheme="majorHAnsi" w:cstheme="majorHAnsi"/>
        </w:rPr>
        <w:t xml:space="preserve"> is also useful</w:t>
      </w:r>
      <w:r w:rsidR="00343271" w:rsidRPr="0014556C">
        <w:rPr>
          <w:rFonts w:asciiTheme="majorHAnsi" w:hAnsiTheme="majorHAnsi" w:cstheme="majorHAnsi"/>
        </w:rPr>
        <w:t xml:space="preserve"> for determining an access framework for building similar capacity for farmed animals for the </w:t>
      </w:r>
      <w:proofErr w:type="spellStart"/>
      <w:r w:rsidR="00343271" w:rsidRPr="0014556C">
        <w:rPr>
          <w:rFonts w:asciiTheme="majorHAnsi" w:hAnsiTheme="majorHAnsi" w:cstheme="majorHAnsi"/>
        </w:rPr>
        <w:t>EuroFAANG</w:t>
      </w:r>
      <w:proofErr w:type="spellEnd"/>
      <w:r w:rsidR="00343271" w:rsidRPr="0014556C">
        <w:rPr>
          <w:rFonts w:asciiTheme="majorHAnsi" w:hAnsiTheme="majorHAnsi" w:cstheme="majorHAnsi"/>
        </w:rPr>
        <w:t xml:space="preserve"> RI project</w:t>
      </w:r>
      <w:r w:rsidRPr="0014556C">
        <w:rPr>
          <w:rFonts w:asciiTheme="majorHAnsi" w:hAnsiTheme="majorHAnsi" w:cstheme="majorHAnsi"/>
        </w:rPr>
        <w:t>:</w:t>
      </w:r>
    </w:p>
    <w:p w14:paraId="205544E0" w14:textId="024014A7" w:rsidR="001C79F5" w:rsidRPr="0014556C" w:rsidRDefault="001C79F5" w:rsidP="00343271">
      <w:pPr>
        <w:pStyle w:val="NormalWeb"/>
        <w:jc w:val="center"/>
        <w:rPr>
          <w:rFonts w:asciiTheme="majorHAnsi" w:hAnsiTheme="majorHAnsi" w:cstheme="majorHAnsi"/>
        </w:rPr>
      </w:pPr>
      <w:r w:rsidRPr="0014556C">
        <w:rPr>
          <w:rFonts w:asciiTheme="majorHAnsi" w:hAnsiTheme="majorHAnsi" w:cstheme="majorHAnsi"/>
          <w:noProof/>
        </w:rPr>
        <w:drawing>
          <wp:inline distT="0" distB="0" distL="0" distR="0" wp14:anchorId="6F6504E2" wp14:editId="432AC2FF">
            <wp:extent cx="3575842" cy="3108960"/>
            <wp:effectExtent l="0" t="0" r="5715" b="2540"/>
            <wp:docPr id="478968911" name="Picture 5" descr="A screenshot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968911" name="Picture 5" descr="A screenshot of a scree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85203" cy="3117099"/>
                    </a:xfrm>
                    <a:prstGeom prst="rect">
                      <a:avLst/>
                    </a:prstGeom>
                  </pic:spPr>
                </pic:pic>
              </a:graphicData>
            </a:graphic>
          </wp:inline>
        </w:drawing>
      </w:r>
    </w:p>
    <w:p w14:paraId="0208ED36" w14:textId="236A3DCA" w:rsidR="001C79F5" w:rsidRPr="0014556C" w:rsidRDefault="001C79F5" w:rsidP="00D74CC6">
      <w:pPr>
        <w:pStyle w:val="NormalWeb"/>
        <w:jc w:val="both"/>
        <w:rPr>
          <w:rFonts w:asciiTheme="majorHAnsi" w:hAnsiTheme="majorHAnsi" w:cstheme="majorHAnsi"/>
          <w:b/>
          <w:bCs/>
          <w:i/>
          <w:iCs/>
        </w:rPr>
      </w:pPr>
      <w:r w:rsidRPr="0014556C">
        <w:rPr>
          <w:rFonts w:asciiTheme="majorHAnsi" w:hAnsiTheme="majorHAnsi" w:cstheme="majorHAnsi"/>
          <w:b/>
          <w:bCs/>
          <w:i/>
          <w:iCs/>
        </w:rPr>
        <w:t>Figure 1: List of instruments available at BRICs Core Facility for High-Content CRISPR Screens (HCCS)</w:t>
      </w:r>
      <w:r w:rsidR="00343271" w:rsidRPr="0014556C">
        <w:rPr>
          <w:rFonts w:asciiTheme="majorHAnsi" w:hAnsiTheme="majorHAnsi" w:cstheme="majorHAnsi"/>
          <w:b/>
          <w:bCs/>
          <w:i/>
          <w:iCs/>
        </w:rPr>
        <w:t xml:space="preserve"> from </w:t>
      </w:r>
      <w:hyperlink r:id="rId28" w:history="1">
        <w:r w:rsidR="00343271" w:rsidRPr="0014556C">
          <w:rPr>
            <w:rStyle w:val="Hyperlink"/>
            <w:rFonts w:asciiTheme="majorHAnsi" w:hAnsiTheme="majorHAnsi" w:cstheme="majorHAnsi"/>
            <w:b/>
            <w:bCs/>
            <w:i/>
            <w:iCs/>
          </w:rPr>
          <w:t>https://www.bric.ku.dk/core-facilities/high-content-crispr-screens-hccs/instruments/</w:t>
        </w:r>
      </w:hyperlink>
      <w:r w:rsidR="00343271" w:rsidRPr="0014556C">
        <w:rPr>
          <w:rFonts w:asciiTheme="majorHAnsi" w:hAnsiTheme="majorHAnsi" w:cstheme="majorHAnsi"/>
          <w:b/>
          <w:bCs/>
          <w:i/>
          <w:iCs/>
        </w:rPr>
        <w:t xml:space="preserve"> </w:t>
      </w:r>
    </w:p>
    <w:p w14:paraId="1C6C5F50" w14:textId="6562227E" w:rsidR="00E965AE" w:rsidRPr="0014556C" w:rsidRDefault="00E965AE" w:rsidP="004D455C">
      <w:pPr>
        <w:pStyle w:val="Heading3"/>
        <w:rPr>
          <w:lang w:val="en-US"/>
        </w:rPr>
      </w:pPr>
      <w:bookmarkStart w:id="14" w:name="_Toc170418874"/>
      <w:r w:rsidRPr="0014556C">
        <w:rPr>
          <w:lang w:val="en-US"/>
        </w:rPr>
        <w:t>United Kingdom</w:t>
      </w:r>
      <w:bookmarkEnd w:id="14"/>
    </w:p>
    <w:p w14:paraId="4C872F2A" w14:textId="77777777" w:rsidR="004D455C" w:rsidRPr="0014556C" w:rsidRDefault="004D455C" w:rsidP="00E965AE">
      <w:pPr>
        <w:rPr>
          <w:rFonts w:asciiTheme="majorHAnsi" w:hAnsiTheme="majorHAnsi" w:cstheme="majorHAnsi"/>
          <w:b/>
          <w:bCs/>
          <w:lang w:val="en-US"/>
        </w:rPr>
      </w:pPr>
    </w:p>
    <w:p w14:paraId="124CCAF6" w14:textId="1072A7E5" w:rsidR="00E965AE" w:rsidRPr="0014556C" w:rsidRDefault="003A119F" w:rsidP="00434365">
      <w:pPr>
        <w:jc w:val="both"/>
        <w:rPr>
          <w:rFonts w:asciiTheme="majorHAnsi" w:hAnsiTheme="majorHAnsi" w:cstheme="majorHAnsi"/>
        </w:rPr>
      </w:pPr>
      <w:r w:rsidRPr="0014556C">
        <w:rPr>
          <w:rFonts w:asciiTheme="majorHAnsi" w:hAnsiTheme="majorHAnsi" w:cstheme="majorHAnsi"/>
        </w:rPr>
        <w:t>T</w:t>
      </w:r>
      <w:r w:rsidR="00E965AE" w:rsidRPr="0014556C">
        <w:rPr>
          <w:rFonts w:asciiTheme="majorHAnsi" w:hAnsiTheme="majorHAnsi" w:cstheme="majorHAnsi"/>
        </w:rPr>
        <w:t xml:space="preserve">he UK capacity for high-throughput phenotyping and CRISPR screens is </w:t>
      </w:r>
      <w:r w:rsidRPr="0014556C">
        <w:rPr>
          <w:rFonts w:asciiTheme="majorHAnsi" w:hAnsiTheme="majorHAnsi" w:cstheme="majorHAnsi"/>
        </w:rPr>
        <w:t xml:space="preserve">also </w:t>
      </w:r>
      <w:r w:rsidR="00E965AE" w:rsidRPr="0014556C">
        <w:rPr>
          <w:rFonts w:asciiTheme="majorHAnsi" w:hAnsiTheme="majorHAnsi" w:cstheme="majorHAnsi"/>
        </w:rPr>
        <w:t>currently focused on the human research space. Recently, AstraZeneca established a new world-</w:t>
      </w:r>
      <w:r w:rsidR="00E965AE" w:rsidRPr="0014556C">
        <w:rPr>
          <w:rFonts w:asciiTheme="majorHAnsi" w:hAnsiTheme="majorHAnsi" w:cstheme="majorHAnsi"/>
        </w:rPr>
        <w:lastRenderedPageBreak/>
        <w:t>class functional genomics laboratory with Medical Research Council and the Milner Therapeutics Institute at the University of Cambridge. According to the press release (links below) this new facility</w:t>
      </w:r>
      <w:r w:rsidRPr="0014556C">
        <w:rPr>
          <w:rFonts w:asciiTheme="majorHAnsi" w:hAnsiTheme="majorHAnsi" w:cstheme="majorHAnsi"/>
        </w:rPr>
        <w:t>, called the Functional Genomics Screening Laboratory,</w:t>
      </w:r>
      <w:r w:rsidR="00E965AE" w:rsidRPr="0014556C">
        <w:rPr>
          <w:rFonts w:asciiTheme="majorHAnsi" w:hAnsiTheme="majorHAnsi" w:cstheme="majorHAnsi"/>
        </w:rPr>
        <w:t xml:space="preserve"> will provide researchers from across the UK with access to large-scale biological and technological tools and house an advanced automated arrayed-CRISPR screening platform. Using these tools, such as CRISPR gene editing at scale will provide insight into the relationship between genes and </w:t>
      </w:r>
      <w:r w:rsidR="00256858" w:rsidRPr="0014556C">
        <w:rPr>
          <w:rFonts w:asciiTheme="majorHAnsi" w:hAnsiTheme="majorHAnsi" w:cstheme="majorHAnsi"/>
        </w:rPr>
        <w:t>disease and</w:t>
      </w:r>
      <w:r w:rsidR="00E965AE" w:rsidRPr="0014556C">
        <w:rPr>
          <w:rFonts w:asciiTheme="majorHAnsi" w:hAnsiTheme="majorHAnsi" w:cstheme="majorHAnsi"/>
        </w:rPr>
        <w:t xml:space="preserve"> provide new opportunities to develop therapies for chronic diseases including cardiovascular, respiratory and metabolic disease.</w:t>
      </w:r>
      <w:r w:rsidRPr="0014556C">
        <w:rPr>
          <w:rFonts w:asciiTheme="majorHAnsi" w:hAnsiTheme="majorHAnsi" w:cstheme="majorHAnsi"/>
        </w:rPr>
        <w:t xml:space="preserve"> </w:t>
      </w:r>
    </w:p>
    <w:p w14:paraId="49AC19B6" w14:textId="77777777" w:rsidR="00434365" w:rsidRPr="0014556C" w:rsidRDefault="00434365" w:rsidP="00434365">
      <w:pPr>
        <w:jc w:val="both"/>
        <w:rPr>
          <w:rFonts w:asciiTheme="majorHAnsi" w:hAnsiTheme="majorHAnsi" w:cstheme="majorHAnsi"/>
          <w:b/>
        </w:rPr>
      </w:pPr>
    </w:p>
    <w:p w14:paraId="3BC25E05" w14:textId="3A97A1C8" w:rsidR="00E965AE" w:rsidRPr="0014556C" w:rsidRDefault="00E965AE" w:rsidP="00E965AE">
      <w:pPr>
        <w:rPr>
          <w:rFonts w:asciiTheme="majorHAnsi" w:hAnsiTheme="majorHAnsi" w:cstheme="majorHAnsi"/>
          <w:lang w:val="en-US"/>
        </w:rPr>
      </w:pPr>
      <w:r w:rsidRPr="0014556C">
        <w:rPr>
          <w:rFonts w:asciiTheme="majorHAnsi" w:hAnsiTheme="majorHAnsi" w:cstheme="majorHAnsi"/>
          <w:lang w:val="en-US"/>
        </w:rPr>
        <w:t>More information can be accessed via these links:</w:t>
      </w:r>
    </w:p>
    <w:p w14:paraId="2F626DBE" w14:textId="77777777" w:rsidR="00BB2F22" w:rsidRPr="0014556C" w:rsidRDefault="00BB2F22" w:rsidP="00E965AE">
      <w:pPr>
        <w:rPr>
          <w:rFonts w:asciiTheme="majorHAnsi" w:hAnsiTheme="majorHAnsi" w:cstheme="majorHAnsi"/>
          <w:lang w:val="en-US"/>
        </w:rPr>
      </w:pPr>
    </w:p>
    <w:p w14:paraId="40883450" w14:textId="5EB0E268" w:rsidR="00E965AE" w:rsidRPr="0014556C" w:rsidRDefault="00000000" w:rsidP="00E965AE">
      <w:pPr>
        <w:rPr>
          <w:rStyle w:val="Hyperlink"/>
          <w:rFonts w:asciiTheme="majorHAnsi" w:hAnsiTheme="majorHAnsi" w:cstheme="majorHAnsi"/>
        </w:rPr>
      </w:pPr>
      <w:hyperlink r:id="rId29" w:history="1">
        <w:r w:rsidR="00E965AE" w:rsidRPr="0014556C">
          <w:rPr>
            <w:rStyle w:val="Hyperlink"/>
            <w:rFonts w:asciiTheme="majorHAnsi" w:hAnsiTheme="majorHAnsi" w:cstheme="majorHAnsi"/>
          </w:rPr>
          <w:t>https://ncats.nih.gov/research/research-activities/functional-genomics-lab</w:t>
        </w:r>
      </w:hyperlink>
    </w:p>
    <w:p w14:paraId="62ACF107" w14:textId="77777777" w:rsidR="000A0256" w:rsidRPr="0014556C" w:rsidRDefault="000A0256" w:rsidP="00E965AE">
      <w:pPr>
        <w:rPr>
          <w:rFonts w:asciiTheme="majorHAnsi" w:hAnsiTheme="majorHAnsi" w:cstheme="majorHAnsi"/>
        </w:rPr>
      </w:pPr>
    </w:p>
    <w:p w14:paraId="444BACC7" w14:textId="77777777" w:rsidR="00E965AE" w:rsidRPr="0014556C" w:rsidRDefault="00000000" w:rsidP="00E965AE">
      <w:pPr>
        <w:rPr>
          <w:rStyle w:val="Hyperlink"/>
          <w:rFonts w:asciiTheme="majorHAnsi" w:hAnsiTheme="majorHAnsi" w:cstheme="majorHAnsi"/>
        </w:rPr>
      </w:pPr>
      <w:hyperlink r:id="rId30" w:history="1">
        <w:r w:rsidR="00E965AE" w:rsidRPr="0014556C">
          <w:rPr>
            <w:rStyle w:val="Hyperlink"/>
            <w:rFonts w:asciiTheme="majorHAnsi" w:hAnsiTheme="majorHAnsi" w:cstheme="majorHAnsi"/>
          </w:rPr>
          <w:t>https://www.astrazeneca.com/media-centre/medical-releases/astrazeneca-establishes-new-world-class-functional-genomics-laboratory-with-medical-research-council-and-the-milner-therapeutics-institute-at-the-university-of-cambridge.html</w:t>
        </w:r>
      </w:hyperlink>
    </w:p>
    <w:p w14:paraId="4DA18902" w14:textId="77777777" w:rsidR="00BB2F22" w:rsidRPr="0014556C" w:rsidRDefault="00BB2F22" w:rsidP="00E965AE">
      <w:pPr>
        <w:rPr>
          <w:rFonts w:asciiTheme="majorHAnsi" w:hAnsiTheme="majorHAnsi" w:cstheme="majorHAnsi"/>
        </w:rPr>
      </w:pPr>
    </w:p>
    <w:p w14:paraId="26302A02" w14:textId="30B84B3A" w:rsidR="00E965AE" w:rsidRPr="0014556C" w:rsidRDefault="00E965AE" w:rsidP="00E965AE">
      <w:pPr>
        <w:rPr>
          <w:rFonts w:asciiTheme="majorHAnsi" w:hAnsiTheme="majorHAnsi" w:cstheme="majorHAnsi"/>
        </w:rPr>
      </w:pPr>
      <w:r w:rsidRPr="0014556C">
        <w:rPr>
          <w:rFonts w:asciiTheme="majorHAnsi" w:hAnsiTheme="majorHAnsi" w:cstheme="majorHAnsi"/>
        </w:rPr>
        <w:t>UKRI currently has an open funding call for UK researchers to collaborate with the functional genomics screening laboratory:</w:t>
      </w:r>
    </w:p>
    <w:p w14:paraId="4FCBE83E" w14:textId="77777777" w:rsidR="00BB2F22" w:rsidRPr="0014556C" w:rsidRDefault="00BB2F22" w:rsidP="00E965AE">
      <w:pPr>
        <w:rPr>
          <w:rFonts w:asciiTheme="majorHAnsi" w:hAnsiTheme="majorHAnsi" w:cstheme="majorHAnsi"/>
        </w:rPr>
      </w:pPr>
    </w:p>
    <w:p w14:paraId="20C84ECB" w14:textId="77777777" w:rsidR="00E965AE" w:rsidRPr="0014556C" w:rsidRDefault="00000000" w:rsidP="00E965AE">
      <w:pPr>
        <w:rPr>
          <w:rStyle w:val="Hyperlink"/>
          <w:rFonts w:asciiTheme="majorHAnsi" w:hAnsiTheme="majorHAnsi" w:cstheme="majorHAnsi"/>
        </w:rPr>
      </w:pPr>
      <w:hyperlink r:id="rId31" w:history="1">
        <w:r w:rsidR="00E965AE" w:rsidRPr="0014556C">
          <w:rPr>
            <w:rStyle w:val="Hyperlink"/>
            <w:rFonts w:asciiTheme="majorHAnsi" w:hAnsiTheme="majorHAnsi" w:cstheme="majorHAnsi"/>
          </w:rPr>
          <w:t>https://www.ukri.org/opportunity/collaborate-with-the-functional-genomics-screening-laboratory/?utm_medium=email&amp;utm_source=govdelivery</w:t>
        </w:r>
      </w:hyperlink>
    </w:p>
    <w:p w14:paraId="11858F28" w14:textId="77777777" w:rsidR="00434365" w:rsidRPr="0014556C" w:rsidRDefault="00434365" w:rsidP="00434365">
      <w:pPr>
        <w:jc w:val="both"/>
        <w:rPr>
          <w:rFonts w:asciiTheme="majorHAnsi" w:hAnsiTheme="majorHAnsi" w:cstheme="majorHAnsi"/>
          <w:b/>
        </w:rPr>
      </w:pPr>
    </w:p>
    <w:p w14:paraId="64E8F31F" w14:textId="492B7E48" w:rsidR="00322045" w:rsidRPr="0014556C" w:rsidRDefault="00322045" w:rsidP="004D455C">
      <w:pPr>
        <w:pStyle w:val="Heading3"/>
      </w:pPr>
      <w:bookmarkStart w:id="15" w:name="_Toc170418875"/>
      <w:r w:rsidRPr="0014556C">
        <w:t>Germany</w:t>
      </w:r>
      <w:bookmarkEnd w:id="15"/>
    </w:p>
    <w:p w14:paraId="06D6856C" w14:textId="77777777" w:rsidR="00322045" w:rsidRPr="0014556C" w:rsidRDefault="00322045" w:rsidP="00194EB9">
      <w:pPr>
        <w:jc w:val="both"/>
        <w:rPr>
          <w:rFonts w:asciiTheme="majorHAnsi" w:hAnsiTheme="majorHAnsi" w:cstheme="majorHAnsi"/>
        </w:rPr>
      </w:pPr>
    </w:p>
    <w:p w14:paraId="3A52A1F3" w14:textId="21AEA2CA" w:rsidR="00322045" w:rsidRPr="0014556C" w:rsidRDefault="00322045" w:rsidP="00194EB9">
      <w:pPr>
        <w:jc w:val="both"/>
        <w:rPr>
          <w:rFonts w:asciiTheme="majorHAnsi" w:hAnsiTheme="majorHAnsi" w:cstheme="majorHAnsi"/>
        </w:rPr>
      </w:pPr>
      <w:r w:rsidRPr="0014556C">
        <w:rPr>
          <w:rFonts w:asciiTheme="majorHAnsi" w:hAnsiTheme="majorHAnsi" w:cstheme="majorHAnsi"/>
        </w:rPr>
        <w:t>The CRISPR screening core facility</w:t>
      </w:r>
      <w:r w:rsidR="009667A2" w:rsidRPr="0014556C">
        <w:rPr>
          <w:rFonts w:asciiTheme="majorHAnsi" w:hAnsiTheme="majorHAnsi" w:cstheme="majorHAnsi"/>
        </w:rPr>
        <w:t xml:space="preserve"> at the Max Planck Institute, for the Biology of Aging, in Germany</w:t>
      </w:r>
      <w:r w:rsidRPr="0014556C">
        <w:rPr>
          <w:rFonts w:asciiTheme="majorHAnsi" w:hAnsiTheme="majorHAnsi" w:cstheme="majorHAnsi"/>
        </w:rPr>
        <w:t xml:space="preserve"> provides access to a state-of-the-art functional genomic screening platform using CRISPR-Cas9. It trains researchers in screening approaches, guides them through screen design, and provides detailed protocols for all aspects of the screening process.</w:t>
      </w:r>
    </w:p>
    <w:p w14:paraId="1B547C57" w14:textId="77777777" w:rsidR="00256858" w:rsidRPr="0014556C" w:rsidRDefault="00256858" w:rsidP="00194EB9">
      <w:pPr>
        <w:jc w:val="both"/>
        <w:rPr>
          <w:rFonts w:asciiTheme="majorHAnsi" w:hAnsiTheme="majorHAnsi" w:cstheme="majorHAnsi"/>
        </w:rPr>
      </w:pPr>
    </w:p>
    <w:p w14:paraId="44A7A3B2" w14:textId="0FCE0A09" w:rsidR="00322045" w:rsidRPr="0014556C" w:rsidRDefault="00322045" w:rsidP="00194EB9">
      <w:pPr>
        <w:jc w:val="both"/>
        <w:rPr>
          <w:rFonts w:asciiTheme="majorHAnsi" w:hAnsiTheme="majorHAnsi" w:cstheme="majorHAnsi"/>
        </w:rPr>
      </w:pPr>
      <w:r w:rsidRPr="0014556C">
        <w:rPr>
          <w:rFonts w:asciiTheme="majorHAnsi" w:hAnsiTheme="majorHAnsi" w:cstheme="majorHAnsi"/>
        </w:rPr>
        <w:t>The goal of the facility is to enable researchers to perform high-quality CRISPR-Cas9 screening without the need to establish the technique themselves. As such, the core facility provides detailed training for the following screening steps: </w:t>
      </w:r>
    </w:p>
    <w:p w14:paraId="24067709" w14:textId="77777777" w:rsidR="00194EB9" w:rsidRPr="0014556C" w:rsidRDefault="00194EB9" w:rsidP="00194EB9">
      <w:pPr>
        <w:jc w:val="both"/>
        <w:rPr>
          <w:rFonts w:asciiTheme="majorHAnsi" w:hAnsiTheme="majorHAnsi" w:cstheme="majorHAnsi"/>
        </w:rPr>
      </w:pPr>
    </w:p>
    <w:p w14:paraId="6E3FC4FE"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Optimising lentiviral transduction conditions</w:t>
      </w:r>
    </w:p>
    <w:p w14:paraId="1F75429B"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determining antibiotic selection conditions</w:t>
      </w:r>
    </w:p>
    <w:p w14:paraId="7088F15F"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evaluating screen treatments</w:t>
      </w:r>
    </w:p>
    <w:p w14:paraId="50A0CB23"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generating/validating Cas9-expressing cell lines (optional, dependent on choice of screening library)</w:t>
      </w:r>
    </w:p>
    <w:p w14:paraId="439DE0D8"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optimising screen readout</w:t>
      </w:r>
    </w:p>
    <w:p w14:paraId="1AC7A439"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bulk screen execution</w:t>
      </w:r>
    </w:p>
    <w:p w14:paraId="77F3EBCE" w14:textId="77777777" w:rsidR="00322045" w:rsidRPr="0014556C" w:rsidRDefault="00322045" w:rsidP="002567A7">
      <w:pPr>
        <w:pStyle w:val="ListParagraph"/>
        <w:numPr>
          <w:ilvl w:val="0"/>
          <w:numId w:val="53"/>
        </w:numPr>
        <w:jc w:val="both"/>
        <w:rPr>
          <w:rFonts w:asciiTheme="majorHAnsi" w:hAnsiTheme="majorHAnsi" w:cstheme="majorHAnsi"/>
        </w:rPr>
      </w:pPr>
      <w:r w:rsidRPr="0014556C">
        <w:rPr>
          <w:rFonts w:asciiTheme="majorHAnsi" w:hAnsiTheme="majorHAnsi" w:cstheme="majorHAnsi"/>
        </w:rPr>
        <w:t>processing of samples for next-generation sequencing.</w:t>
      </w:r>
    </w:p>
    <w:p w14:paraId="617AE832" w14:textId="77777777" w:rsidR="00194EB9" w:rsidRPr="0014556C" w:rsidRDefault="00194EB9" w:rsidP="00194EB9">
      <w:pPr>
        <w:pStyle w:val="ListParagraph"/>
        <w:jc w:val="both"/>
        <w:rPr>
          <w:rFonts w:asciiTheme="majorHAnsi" w:hAnsiTheme="majorHAnsi" w:cstheme="majorHAnsi"/>
        </w:rPr>
      </w:pPr>
    </w:p>
    <w:p w14:paraId="6F1C11B9" w14:textId="12C2FA16" w:rsidR="00322045" w:rsidRPr="0014556C" w:rsidRDefault="009667A2" w:rsidP="00194EB9">
      <w:pPr>
        <w:jc w:val="both"/>
        <w:rPr>
          <w:rFonts w:asciiTheme="majorHAnsi" w:hAnsiTheme="majorHAnsi" w:cstheme="majorHAnsi"/>
        </w:rPr>
      </w:pPr>
      <w:r w:rsidRPr="0014556C">
        <w:rPr>
          <w:rFonts w:asciiTheme="majorHAnsi" w:hAnsiTheme="majorHAnsi" w:cstheme="majorHAnsi"/>
        </w:rPr>
        <w:t xml:space="preserve">The facility if focused on research in human aging, more details are available via this link: </w:t>
      </w:r>
      <w:hyperlink r:id="rId32" w:history="1">
        <w:r w:rsidRPr="0014556C">
          <w:rPr>
            <w:rStyle w:val="Hyperlink"/>
            <w:rFonts w:asciiTheme="majorHAnsi" w:hAnsiTheme="majorHAnsi" w:cstheme="majorHAnsi"/>
          </w:rPr>
          <w:t>https://www.age.mpg.de/crispr-screening</w:t>
        </w:r>
      </w:hyperlink>
      <w:r w:rsidRPr="0014556C">
        <w:rPr>
          <w:rFonts w:asciiTheme="majorHAnsi" w:hAnsiTheme="majorHAnsi" w:cstheme="majorHAnsi"/>
        </w:rPr>
        <w:t xml:space="preserve"> </w:t>
      </w:r>
    </w:p>
    <w:p w14:paraId="52CD732E" w14:textId="77777777" w:rsidR="00256858" w:rsidRPr="0014556C" w:rsidRDefault="00256858" w:rsidP="00194EB9">
      <w:pPr>
        <w:jc w:val="both"/>
        <w:rPr>
          <w:rFonts w:asciiTheme="majorHAnsi" w:hAnsiTheme="majorHAnsi" w:cstheme="majorHAnsi"/>
        </w:rPr>
      </w:pPr>
    </w:p>
    <w:p w14:paraId="1F786F5F" w14:textId="77B8D6FB" w:rsidR="00256858" w:rsidRPr="0014556C" w:rsidRDefault="00256858" w:rsidP="002567A7">
      <w:pPr>
        <w:pStyle w:val="Heading2"/>
        <w:rPr>
          <w:rFonts w:asciiTheme="majorHAnsi" w:hAnsiTheme="majorHAnsi" w:cstheme="majorHAnsi"/>
        </w:rPr>
      </w:pPr>
      <w:bookmarkStart w:id="16" w:name="_Toc170418876"/>
      <w:r w:rsidRPr="0014556C">
        <w:rPr>
          <w:rFonts w:asciiTheme="majorHAnsi" w:hAnsiTheme="majorHAnsi" w:cstheme="majorHAnsi"/>
        </w:rPr>
        <w:t xml:space="preserve">Extending </w:t>
      </w:r>
      <w:r w:rsidR="002567A7" w:rsidRPr="0014556C">
        <w:rPr>
          <w:rFonts w:asciiTheme="majorHAnsi" w:hAnsiTheme="majorHAnsi" w:cstheme="majorHAnsi"/>
        </w:rPr>
        <w:t xml:space="preserve">HTP </w:t>
      </w:r>
      <w:r w:rsidRPr="0014556C">
        <w:rPr>
          <w:rFonts w:asciiTheme="majorHAnsi" w:hAnsiTheme="majorHAnsi" w:cstheme="majorHAnsi"/>
        </w:rPr>
        <w:t>capacity</w:t>
      </w:r>
      <w:r w:rsidRPr="0014556C">
        <w:rPr>
          <w:rFonts w:asciiTheme="majorHAnsi" w:hAnsiTheme="majorHAnsi" w:cstheme="majorHAnsi"/>
        </w:rPr>
        <w:t xml:space="preserve"> from human research</w:t>
      </w:r>
      <w:r w:rsidRPr="0014556C">
        <w:rPr>
          <w:rFonts w:asciiTheme="majorHAnsi" w:hAnsiTheme="majorHAnsi" w:cstheme="majorHAnsi"/>
        </w:rPr>
        <w:t xml:space="preserve"> to </w:t>
      </w:r>
      <w:r w:rsidRPr="0014556C">
        <w:rPr>
          <w:rFonts w:asciiTheme="majorHAnsi" w:hAnsiTheme="majorHAnsi" w:cstheme="majorHAnsi"/>
        </w:rPr>
        <w:t xml:space="preserve">G2P research in </w:t>
      </w:r>
      <w:r w:rsidRPr="0014556C">
        <w:rPr>
          <w:rFonts w:asciiTheme="majorHAnsi" w:hAnsiTheme="majorHAnsi" w:cstheme="majorHAnsi"/>
        </w:rPr>
        <w:t>farmed animals</w:t>
      </w:r>
      <w:bookmarkEnd w:id="16"/>
    </w:p>
    <w:p w14:paraId="77A60CBD" w14:textId="3E227EE9" w:rsidR="00256858" w:rsidRPr="0014556C" w:rsidRDefault="00256858" w:rsidP="00256858">
      <w:pPr>
        <w:jc w:val="both"/>
        <w:rPr>
          <w:rFonts w:asciiTheme="majorHAnsi" w:hAnsiTheme="majorHAnsi" w:cstheme="majorHAnsi"/>
        </w:rPr>
      </w:pPr>
      <w:r w:rsidRPr="0014556C">
        <w:rPr>
          <w:rFonts w:asciiTheme="majorHAnsi" w:hAnsiTheme="majorHAnsi" w:cstheme="majorHAnsi"/>
        </w:rPr>
        <w:lastRenderedPageBreak/>
        <w:t>Extending capacity</w:t>
      </w:r>
      <w:r w:rsidR="002567A7" w:rsidRPr="0014556C">
        <w:rPr>
          <w:rFonts w:asciiTheme="majorHAnsi" w:hAnsiTheme="majorHAnsi" w:cstheme="majorHAnsi"/>
        </w:rPr>
        <w:t xml:space="preserve"> from the human research space</w:t>
      </w:r>
      <w:r w:rsidRPr="0014556C">
        <w:rPr>
          <w:rFonts w:asciiTheme="majorHAnsi" w:hAnsiTheme="majorHAnsi" w:cstheme="majorHAnsi"/>
        </w:rPr>
        <w:t xml:space="preserve"> to </w:t>
      </w:r>
      <w:r w:rsidR="002567A7" w:rsidRPr="0014556C">
        <w:rPr>
          <w:rFonts w:asciiTheme="majorHAnsi" w:hAnsiTheme="majorHAnsi" w:cstheme="majorHAnsi"/>
        </w:rPr>
        <w:t xml:space="preserve">G2P research in </w:t>
      </w:r>
      <w:r w:rsidRPr="0014556C">
        <w:rPr>
          <w:rFonts w:asciiTheme="majorHAnsi" w:hAnsiTheme="majorHAnsi" w:cstheme="majorHAnsi"/>
        </w:rPr>
        <w:t>farmed animals</w:t>
      </w:r>
      <w:r w:rsidR="002567A7" w:rsidRPr="0014556C">
        <w:rPr>
          <w:rFonts w:asciiTheme="majorHAnsi" w:hAnsiTheme="majorHAnsi" w:cstheme="majorHAnsi"/>
        </w:rPr>
        <w:t xml:space="preserve"> </w:t>
      </w:r>
      <w:r w:rsidRPr="0014556C">
        <w:rPr>
          <w:rFonts w:asciiTheme="majorHAnsi" w:hAnsiTheme="majorHAnsi" w:cstheme="majorHAnsi"/>
        </w:rPr>
        <w:t xml:space="preserve">can be explored through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project. </w:t>
      </w:r>
      <w:r w:rsidR="002567A7" w:rsidRPr="0014556C">
        <w:rPr>
          <w:rFonts w:asciiTheme="majorHAnsi" w:hAnsiTheme="majorHAnsi" w:cstheme="majorHAnsi"/>
        </w:rPr>
        <w:t>T</w:t>
      </w:r>
      <w:r w:rsidRPr="0014556C">
        <w:rPr>
          <w:rFonts w:asciiTheme="majorHAnsi" w:hAnsiTheme="majorHAnsi" w:cstheme="majorHAnsi"/>
        </w:rPr>
        <w:t xml:space="preserve">hese discussions will take place over the next 18 months of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w:t>
      </w:r>
      <w:proofErr w:type="gramStart"/>
      <w:r w:rsidRPr="0014556C">
        <w:rPr>
          <w:rFonts w:asciiTheme="majorHAnsi" w:hAnsiTheme="majorHAnsi" w:cstheme="majorHAnsi"/>
        </w:rPr>
        <w:t>project</w:t>
      </w:r>
      <w:proofErr w:type="gramEnd"/>
      <w:r w:rsidRPr="0014556C">
        <w:rPr>
          <w:rFonts w:asciiTheme="majorHAnsi" w:hAnsiTheme="majorHAnsi" w:cstheme="majorHAnsi"/>
        </w:rPr>
        <w:t xml:space="preserve"> and we will update D5.1 accordingly.</w:t>
      </w:r>
    </w:p>
    <w:p w14:paraId="6561E549" w14:textId="77777777" w:rsidR="00256858" w:rsidRPr="0014556C" w:rsidRDefault="00256858" w:rsidP="00194EB9">
      <w:pPr>
        <w:jc w:val="both"/>
        <w:rPr>
          <w:rFonts w:asciiTheme="majorHAnsi" w:hAnsiTheme="majorHAnsi" w:cstheme="majorHAnsi"/>
        </w:rPr>
      </w:pPr>
    </w:p>
    <w:p w14:paraId="06CA5B55" w14:textId="211CF435" w:rsidR="002B167F" w:rsidRPr="0014556C" w:rsidRDefault="002B167F" w:rsidP="00194EB9">
      <w:pPr>
        <w:pStyle w:val="Heading2"/>
        <w:jc w:val="both"/>
        <w:rPr>
          <w:rFonts w:asciiTheme="majorHAnsi" w:hAnsiTheme="majorHAnsi" w:cstheme="majorHAnsi"/>
        </w:rPr>
      </w:pPr>
      <w:bookmarkStart w:id="17" w:name="_Toc170418877"/>
      <w:r w:rsidRPr="0014556C">
        <w:rPr>
          <w:rFonts w:asciiTheme="majorHAnsi" w:hAnsiTheme="majorHAnsi" w:cstheme="majorHAnsi"/>
        </w:rPr>
        <w:t>Additional service provision relevant to high-throughput</w:t>
      </w:r>
      <w:r w:rsidR="004D455C" w:rsidRPr="0014556C">
        <w:rPr>
          <w:rFonts w:asciiTheme="majorHAnsi" w:hAnsiTheme="majorHAnsi" w:cstheme="majorHAnsi"/>
        </w:rPr>
        <w:t xml:space="preserve"> cellular</w:t>
      </w:r>
      <w:r w:rsidRPr="0014556C">
        <w:rPr>
          <w:rFonts w:asciiTheme="majorHAnsi" w:hAnsiTheme="majorHAnsi" w:cstheme="majorHAnsi"/>
        </w:rPr>
        <w:t xml:space="preserve"> phenotyping</w:t>
      </w:r>
      <w:bookmarkEnd w:id="17"/>
      <w:r w:rsidRPr="0014556C">
        <w:rPr>
          <w:rFonts w:asciiTheme="majorHAnsi" w:hAnsiTheme="majorHAnsi" w:cstheme="majorHAnsi"/>
        </w:rPr>
        <w:t xml:space="preserve"> </w:t>
      </w:r>
    </w:p>
    <w:p w14:paraId="56FC3937" w14:textId="0929BBF9" w:rsidR="002B167F" w:rsidRPr="0014556C" w:rsidRDefault="00CE7C6E" w:rsidP="004D455C">
      <w:pPr>
        <w:pStyle w:val="Heading3"/>
      </w:pPr>
      <w:bookmarkStart w:id="18" w:name="_Toc170418878"/>
      <w:r w:rsidRPr="0014556C">
        <w:t>Commercial a</w:t>
      </w:r>
      <w:r w:rsidR="002B167F" w:rsidRPr="0014556C">
        <w:t xml:space="preserve">utomated cell </w:t>
      </w:r>
      <w:r w:rsidR="002567A7" w:rsidRPr="0014556C">
        <w:t>phenotyping</w:t>
      </w:r>
      <w:r w:rsidR="002B167F" w:rsidRPr="0014556C">
        <w:t xml:space="preserve"> systems</w:t>
      </w:r>
      <w:bookmarkEnd w:id="18"/>
    </w:p>
    <w:p w14:paraId="28A61DEB" w14:textId="4C6B8C5B" w:rsidR="002B167F" w:rsidRPr="0014556C" w:rsidRDefault="002B167F" w:rsidP="002B167F">
      <w:pPr>
        <w:spacing w:before="320"/>
        <w:jc w:val="both"/>
        <w:rPr>
          <w:rFonts w:asciiTheme="majorHAnsi" w:hAnsiTheme="majorHAnsi" w:cstheme="majorHAnsi"/>
          <w:color w:val="000000" w:themeColor="text1"/>
        </w:rPr>
      </w:pPr>
      <w:r w:rsidRPr="0014556C">
        <w:rPr>
          <w:rFonts w:asciiTheme="majorHAnsi" w:eastAsiaTheme="minorEastAsia" w:hAnsiTheme="majorHAnsi" w:cstheme="majorHAnsi"/>
          <w:color w:val="000000" w:themeColor="text1"/>
          <w:lang w:val="en-US"/>
        </w:rPr>
        <w:t xml:space="preserve">To explore commercial service provision in this space UEDIN met with </w:t>
      </w:r>
      <w:proofErr w:type="spellStart"/>
      <w:r w:rsidRPr="0014556C">
        <w:rPr>
          <w:rFonts w:asciiTheme="majorHAnsi" w:eastAsiaTheme="minorEastAsia" w:hAnsiTheme="majorHAnsi" w:cstheme="majorHAnsi"/>
          <w:color w:val="000000" w:themeColor="text1"/>
        </w:rPr>
        <w:t>Aixtron</w:t>
      </w:r>
      <w:proofErr w:type="spellEnd"/>
      <w:r w:rsidRPr="0014556C">
        <w:rPr>
          <w:rFonts w:asciiTheme="majorHAnsi" w:eastAsiaTheme="minorEastAsia" w:hAnsiTheme="majorHAnsi" w:cstheme="majorHAnsi"/>
          <w:color w:val="000000" w:themeColor="text1"/>
        </w:rPr>
        <w:t xml:space="preserve"> Ltd, who provide automated cell culture systems including </w:t>
      </w:r>
      <w:proofErr w:type="spellStart"/>
      <w:r w:rsidRPr="0014556C">
        <w:rPr>
          <w:rFonts w:asciiTheme="majorHAnsi" w:eastAsiaTheme="minorEastAsia" w:hAnsiTheme="majorHAnsi" w:cstheme="majorHAnsi"/>
          <w:color w:val="000000" w:themeColor="text1"/>
        </w:rPr>
        <w:t>Aixcell</w:t>
      </w:r>
      <w:proofErr w:type="spellEnd"/>
      <w:r w:rsidRPr="0014556C">
        <w:rPr>
          <w:rFonts w:asciiTheme="majorHAnsi" w:eastAsiaTheme="minorEastAsia" w:hAnsiTheme="majorHAnsi" w:cstheme="majorHAnsi"/>
          <w:color w:val="000000" w:themeColor="text1"/>
        </w:rPr>
        <w:t xml:space="preserve">. </w:t>
      </w:r>
      <w:proofErr w:type="spellStart"/>
      <w:r w:rsidRPr="0014556C">
        <w:rPr>
          <w:rFonts w:asciiTheme="majorHAnsi" w:hAnsiTheme="majorHAnsi" w:cstheme="majorHAnsi"/>
          <w:color w:val="000000" w:themeColor="text1"/>
        </w:rPr>
        <w:t>Aix</w:t>
      </w:r>
      <w:r w:rsidRPr="0014556C">
        <w:rPr>
          <w:rStyle w:val="outlook-search-highlight"/>
          <w:rFonts w:asciiTheme="majorHAnsi" w:hAnsiTheme="majorHAnsi" w:cstheme="majorHAnsi"/>
          <w:color w:val="000000" w:themeColor="text1"/>
        </w:rPr>
        <w:t>cell</w:t>
      </w:r>
      <w:proofErr w:type="spellEnd"/>
      <w:r w:rsidRPr="0014556C">
        <w:rPr>
          <w:rStyle w:val="apple-converted-space"/>
          <w:rFonts w:asciiTheme="majorHAnsi" w:hAnsiTheme="majorHAnsi" w:cstheme="majorHAnsi"/>
          <w:color w:val="000000" w:themeColor="text1"/>
        </w:rPr>
        <w:t> </w:t>
      </w:r>
      <w:r w:rsidRPr="0014556C">
        <w:rPr>
          <w:rFonts w:asciiTheme="majorHAnsi" w:hAnsiTheme="majorHAnsi" w:cstheme="majorHAnsi"/>
          <w:color w:val="000000" w:themeColor="text1"/>
        </w:rPr>
        <w:t>is a smart,</w:t>
      </w:r>
      <w:r w:rsidRPr="0014556C">
        <w:rPr>
          <w:rStyle w:val="apple-converted-space"/>
          <w:rFonts w:asciiTheme="majorHAnsi" w:hAnsiTheme="majorHAnsi" w:cstheme="majorHAnsi"/>
          <w:color w:val="000000" w:themeColor="text1"/>
        </w:rPr>
        <w:t> </w:t>
      </w:r>
      <w:r w:rsidRPr="0014556C">
        <w:rPr>
          <w:rStyle w:val="outlook-search-highlight"/>
          <w:rFonts w:asciiTheme="majorHAnsi" w:hAnsiTheme="majorHAnsi" w:cstheme="majorHAnsi"/>
          <w:color w:val="000000" w:themeColor="text1"/>
        </w:rPr>
        <w:t>cell</w:t>
      </w:r>
      <w:r w:rsidRPr="0014556C">
        <w:rPr>
          <w:rStyle w:val="apple-converted-space"/>
          <w:rFonts w:asciiTheme="majorHAnsi" w:hAnsiTheme="majorHAnsi" w:cstheme="majorHAnsi"/>
          <w:color w:val="000000" w:themeColor="text1"/>
        </w:rPr>
        <w:t> </w:t>
      </w:r>
      <w:r w:rsidRPr="0014556C">
        <w:rPr>
          <w:rFonts w:asciiTheme="majorHAnsi" w:hAnsiTheme="majorHAnsi" w:cstheme="majorHAnsi"/>
          <w:color w:val="000000" w:themeColor="text1"/>
        </w:rPr>
        <w:t>culture system, which can simultaneously handle up to 200 different</w:t>
      </w:r>
      <w:r w:rsidRPr="0014556C">
        <w:rPr>
          <w:rStyle w:val="apple-converted-space"/>
          <w:rFonts w:asciiTheme="majorHAnsi" w:hAnsiTheme="majorHAnsi" w:cstheme="majorHAnsi"/>
          <w:color w:val="000000" w:themeColor="text1"/>
        </w:rPr>
        <w:t> </w:t>
      </w:r>
      <w:r w:rsidRPr="0014556C">
        <w:rPr>
          <w:rStyle w:val="outlook-search-highlight"/>
          <w:rFonts w:asciiTheme="majorHAnsi" w:hAnsiTheme="majorHAnsi" w:cstheme="majorHAnsi"/>
          <w:color w:val="000000" w:themeColor="text1"/>
        </w:rPr>
        <w:t>cell</w:t>
      </w:r>
      <w:r w:rsidRPr="0014556C">
        <w:rPr>
          <w:rStyle w:val="apple-converted-space"/>
          <w:rFonts w:asciiTheme="majorHAnsi" w:hAnsiTheme="majorHAnsi" w:cstheme="majorHAnsi"/>
          <w:color w:val="000000" w:themeColor="text1"/>
        </w:rPr>
        <w:t> </w:t>
      </w:r>
      <w:r w:rsidRPr="0014556C">
        <w:rPr>
          <w:rFonts w:asciiTheme="majorHAnsi" w:hAnsiTheme="majorHAnsi" w:cstheme="majorHAnsi"/>
          <w:color w:val="000000" w:themeColor="text1"/>
        </w:rPr>
        <w:t>lines, or 200 different workflows. With an inbuilt microscope the system can objectively track confluence and count</w:t>
      </w:r>
      <w:r w:rsidRPr="0014556C">
        <w:rPr>
          <w:rStyle w:val="apple-converted-space"/>
          <w:rFonts w:asciiTheme="majorHAnsi" w:hAnsiTheme="majorHAnsi" w:cstheme="majorHAnsi"/>
          <w:color w:val="000000" w:themeColor="text1"/>
        </w:rPr>
        <w:t> </w:t>
      </w:r>
      <w:r w:rsidRPr="0014556C">
        <w:rPr>
          <w:rStyle w:val="outlook-search-highlight"/>
          <w:rFonts w:asciiTheme="majorHAnsi" w:hAnsiTheme="majorHAnsi" w:cstheme="majorHAnsi"/>
          <w:color w:val="000000" w:themeColor="text1"/>
        </w:rPr>
        <w:t>cell</w:t>
      </w:r>
      <w:r w:rsidRPr="0014556C">
        <w:rPr>
          <w:rFonts w:asciiTheme="majorHAnsi" w:hAnsiTheme="majorHAnsi" w:cstheme="majorHAnsi"/>
          <w:color w:val="000000" w:themeColor="text1"/>
        </w:rPr>
        <w:t>s, use imaging to provide phenotype measurements and reproducibly passage and seed</w:t>
      </w:r>
      <w:r w:rsidRPr="0014556C">
        <w:rPr>
          <w:rStyle w:val="apple-converted-space"/>
          <w:rFonts w:asciiTheme="majorHAnsi" w:hAnsiTheme="majorHAnsi" w:cstheme="majorHAnsi"/>
          <w:color w:val="000000" w:themeColor="text1"/>
        </w:rPr>
        <w:t> </w:t>
      </w:r>
      <w:r w:rsidRPr="0014556C">
        <w:rPr>
          <w:rStyle w:val="outlook-search-highlight"/>
          <w:rFonts w:asciiTheme="majorHAnsi" w:hAnsiTheme="majorHAnsi" w:cstheme="majorHAnsi"/>
          <w:color w:val="000000" w:themeColor="text1"/>
        </w:rPr>
        <w:t>cell</w:t>
      </w:r>
      <w:r w:rsidRPr="0014556C">
        <w:rPr>
          <w:rFonts w:asciiTheme="majorHAnsi" w:hAnsiTheme="majorHAnsi" w:cstheme="majorHAnsi"/>
          <w:color w:val="000000" w:themeColor="text1"/>
        </w:rPr>
        <w:t xml:space="preserve">s. </w:t>
      </w:r>
    </w:p>
    <w:p w14:paraId="0BB19F70" w14:textId="0605D417" w:rsidR="002B167F" w:rsidRPr="0014556C" w:rsidRDefault="002B167F" w:rsidP="002B167F">
      <w:pPr>
        <w:spacing w:before="320"/>
        <w:jc w:val="both"/>
        <w:rPr>
          <w:rFonts w:asciiTheme="majorHAnsi" w:hAnsiTheme="majorHAnsi" w:cstheme="majorHAnsi"/>
          <w:color w:val="000000" w:themeColor="text1"/>
        </w:rPr>
      </w:pPr>
      <w:r w:rsidRPr="0014556C">
        <w:rPr>
          <w:rFonts w:asciiTheme="majorHAnsi" w:eastAsiaTheme="minorEastAsia" w:hAnsiTheme="majorHAnsi" w:cstheme="majorHAnsi"/>
          <w:color w:val="000000" w:themeColor="text1"/>
        </w:rPr>
        <w:t xml:space="preserve">The </w:t>
      </w:r>
      <w:proofErr w:type="spellStart"/>
      <w:r w:rsidRPr="0014556C">
        <w:rPr>
          <w:rFonts w:asciiTheme="majorHAnsi" w:eastAsiaTheme="minorEastAsia" w:hAnsiTheme="majorHAnsi" w:cstheme="majorHAnsi"/>
          <w:color w:val="000000" w:themeColor="text1"/>
        </w:rPr>
        <w:t>Aixcell</w:t>
      </w:r>
      <w:proofErr w:type="spellEnd"/>
      <w:r w:rsidRPr="0014556C">
        <w:rPr>
          <w:rFonts w:asciiTheme="majorHAnsi" w:eastAsiaTheme="minorEastAsia" w:hAnsiTheme="majorHAnsi" w:cstheme="majorHAnsi"/>
          <w:color w:val="000000" w:themeColor="text1"/>
        </w:rPr>
        <w:t xml:space="preserve"> system provides the potential to perform:</w:t>
      </w:r>
    </w:p>
    <w:p w14:paraId="383E46E2" w14:textId="77777777" w:rsidR="002B167F" w:rsidRPr="0014556C" w:rsidRDefault="002B167F" w:rsidP="002B167F">
      <w:pPr>
        <w:pStyle w:val="ListParagraph"/>
        <w:numPr>
          <w:ilvl w:val="0"/>
          <w:numId w:val="50"/>
        </w:numPr>
        <w:spacing w:before="320"/>
        <w:jc w:val="both"/>
        <w:rPr>
          <w:rFonts w:asciiTheme="majorHAnsi" w:eastAsiaTheme="minorEastAsia" w:hAnsiTheme="majorHAnsi" w:cstheme="majorHAnsi"/>
          <w:color w:val="000000" w:themeColor="text1"/>
        </w:rPr>
      </w:pPr>
      <w:r w:rsidRPr="0014556C">
        <w:rPr>
          <w:rFonts w:asciiTheme="majorHAnsi" w:hAnsiTheme="majorHAnsi" w:cstheme="majorHAnsi"/>
          <w:color w:val="000000" w:themeColor="text1"/>
        </w:rPr>
        <w:t>Moderate scale iPSC reprogramming or differentiation (e.g. 1-100 plates)</w:t>
      </w:r>
    </w:p>
    <w:p w14:paraId="4832129C" w14:textId="77777777" w:rsidR="002B167F" w:rsidRPr="0014556C" w:rsidRDefault="002B167F" w:rsidP="002B167F">
      <w:pPr>
        <w:pStyle w:val="ListParagraph"/>
        <w:numPr>
          <w:ilvl w:val="0"/>
          <w:numId w:val="50"/>
        </w:numPr>
        <w:spacing w:before="320"/>
        <w:jc w:val="both"/>
        <w:rPr>
          <w:rFonts w:asciiTheme="majorHAnsi" w:hAnsiTheme="majorHAnsi" w:cstheme="majorHAnsi"/>
          <w:color w:val="000000" w:themeColor="text1"/>
        </w:rPr>
      </w:pPr>
      <w:r w:rsidRPr="0014556C">
        <w:rPr>
          <w:rFonts w:asciiTheme="majorHAnsi" w:hAnsiTheme="majorHAnsi" w:cstheme="majorHAnsi"/>
          <w:color w:val="000000" w:themeColor="text1"/>
        </w:rPr>
        <w:t>Making stable</w:t>
      </w:r>
      <w:r w:rsidRPr="0014556C">
        <w:rPr>
          <w:rStyle w:val="apple-converted-space"/>
          <w:rFonts w:asciiTheme="majorHAnsi" w:hAnsiTheme="majorHAnsi" w:cstheme="majorHAnsi"/>
          <w:color w:val="000000" w:themeColor="text1"/>
        </w:rPr>
        <w:t> </w:t>
      </w:r>
      <w:r w:rsidRPr="0014556C">
        <w:rPr>
          <w:rStyle w:val="outlook-search-highlight"/>
          <w:rFonts w:asciiTheme="majorHAnsi" w:hAnsiTheme="majorHAnsi" w:cstheme="majorHAnsi"/>
          <w:color w:val="000000" w:themeColor="text1"/>
        </w:rPr>
        <w:t>cell</w:t>
      </w:r>
      <w:r w:rsidRPr="0014556C">
        <w:rPr>
          <w:rStyle w:val="apple-converted-space"/>
          <w:rFonts w:asciiTheme="majorHAnsi" w:hAnsiTheme="majorHAnsi" w:cstheme="majorHAnsi"/>
          <w:color w:val="000000" w:themeColor="text1"/>
        </w:rPr>
        <w:t> </w:t>
      </w:r>
      <w:r w:rsidRPr="0014556C">
        <w:rPr>
          <w:rFonts w:asciiTheme="majorHAnsi" w:hAnsiTheme="majorHAnsi" w:cstheme="majorHAnsi"/>
          <w:color w:val="000000" w:themeColor="text1"/>
        </w:rPr>
        <w:t>lines (transfection, seeding at limiting dilution, isolation &amp; expansion of clones)</w:t>
      </w:r>
    </w:p>
    <w:p w14:paraId="4400C197" w14:textId="77777777" w:rsidR="002B167F" w:rsidRPr="0014556C" w:rsidRDefault="002B167F" w:rsidP="002B167F">
      <w:pPr>
        <w:pStyle w:val="ListParagraph"/>
        <w:numPr>
          <w:ilvl w:val="0"/>
          <w:numId w:val="50"/>
        </w:numPr>
        <w:spacing w:before="320"/>
        <w:jc w:val="both"/>
        <w:rPr>
          <w:rFonts w:asciiTheme="majorHAnsi" w:hAnsiTheme="majorHAnsi" w:cstheme="majorHAnsi"/>
          <w:color w:val="000000" w:themeColor="text1"/>
        </w:rPr>
      </w:pPr>
      <w:r w:rsidRPr="0014556C">
        <w:rPr>
          <w:rFonts w:asciiTheme="majorHAnsi" w:hAnsiTheme="majorHAnsi" w:cstheme="majorHAnsi"/>
          <w:color w:val="000000" w:themeColor="text1"/>
        </w:rPr>
        <w:t>Small scale (1-1,000 plates) CRISPR screens, in e.g. 96 well plates</w:t>
      </w:r>
    </w:p>
    <w:p w14:paraId="40545CE3" w14:textId="761B8B5F" w:rsidR="002B167F" w:rsidRPr="0014556C" w:rsidRDefault="002B167F" w:rsidP="002B167F">
      <w:pPr>
        <w:pStyle w:val="ListParagraph"/>
        <w:numPr>
          <w:ilvl w:val="0"/>
          <w:numId w:val="50"/>
        </w:numPr>
        <w:spacing w:before="320"/>
        <w:jc w:val="both"/>
        <w:rPr>
          <w:rFonts w:asciiTheme="majorHAnsi" w:hAnsiTheme="majorHAnsi" w:cstheme="majorHAnsi"/>
          <w:color w:val="000000" w:themeColor="text1"/>
        </w:rPr>
      </w:pPr>
      <w:r w:rsidRPr="0014556C">
        <w:rPr>
          <w:rStyle w:val="outlook-search-highlight"/>
          <w:rFonts w:asciiTheme="majorHAnsi" w:hAnsiTheme="majorHAnsi" w:cstheme="majorHAnsi"/>
          <w:color w:val="000000" w:themeColor="text1"/>
        </w:rPr>
        <w:t>Automated</w:t>
      </w:r>
      <w:r w:rsidRPr="0014556C">
        <w:rPr>
          <w:rStyle w:val="apple-converted-space"/>
          <w:rFonts w:asciiTheme="majorHAnsi" w:hAnsiTheme="majorHAnsi" w:cstheme="majorHAnsi"/>
          <w:color w:val="000000" w:themeColor="text1"/>
        </w:rPr>
        <w:t> </w:t>
      </w:r>
      <w:r w:rsidRPr="0014556C">
        <w:rPr>
          <w:rFonts w:asciiTheme="majorHAnsi" w:hAnsiTheme="majorHAnsi" w:cstheme="majorHAnsi"/>
          <w:color w:val="000000" w:themeColor="text1"/>
        </w:rPr>
        <w:t>collection of phenotypes in the form of label-free images (phase contrast or brightfield), for ‘phase-visible phenotypes’, e.g. a proliferation assay, or a phenotype that has a morphological or phase-visible component.</w:t>
      </w:r>
    </w:p>
    <w:p w14:paraId="253D3603" w14:textId="77777777" w:rsidR="00BE23B2" w:rsidRPr="0014556C" w:rsidRDefault="00BE23B2" w:rsidP="00BE23B2">
      <w:pPr>
        <w:pStyle w:val="ListParagraph"/>
        <w:spacing w:before="320"/>
        <w:jc w:val="both"/>
        <w:rPr>
          <w:rFonts w:asciiTheme="majorHAnsi" w:hAnsiTheme="majorHAnsi" w:cstheme="majorHAnsi"/>
          <w:color w:val="000000" w:themeColor="text1"/>
        </w:rPr>
      </w:pPr>
    </w:p>
    <w:p w14:paraId="2033A5BD" w14:textId="4380C866" w:rsidR="00CE7C6E" w:rsidRPr="0014556C" w:rsidRDefault="002B167F" w:rsidP="004D455C">
      <w:pPr>
        <w:pStyle w:val="Heading3"/>
        <w:rPr>
          <w:color w:val="000000" w:themeColor="text1"/>
        </w:rPr>
      </w:pPr>
      <w:bookmarkStart w:id="19" w:name="_Toc170418879"/>
      <w:r w:rsidRPr="0014556C">
        <w:t xml:space="preserve">Assembly of DNA constructs at scale for </w:t>
      </w:r>
      <w:r w:rsidR="00CE7C6E" w:rsidRPr="0014556C">
        <w:t>CRISPR screens</w:t>
      </w:r>
      <w:bookmarkEnd w:id="19"/>
    </w:p>
    <w:p w14:paraId="0BBD167E" w14:textId="77777777" w:rsidR="00CE7C6E" w:rsidRPr="0014556C" w:rsidRDefault="00CE7C6E" w:rsidP="00BE23B2">
      <w:pPr>
        <w:jc w:val="both"/>
        <w:rPr>
          <w:rFonts w:asciiTheme="majorHAnsi" w:hAnsiTheme="majorHAnsi" w:cstheme="majorHAnsi"/>
          <w:b/>
          <w:bCs/>
          <w:color w:val="000000" w:themeColor="text1"/>
        </w:rPr>
      </w:pPr>
    </w:p>
    <w:p w14:paraId="0E2464D8" w14:textId="0F83ADAC" w:rsidR="002B167F" w:rsidRPr="0014556C" w:rsidRDefault="002B167F" w:rsidP="00BE23B2">
      <w:pPr>
        <w:jc w:val="both"/>
        <w:rPr>
          <w:rFonts w:asciiTheme="majorHAnsi" w:eastAsiaTheme="minorEastAsia" w:hAnsiTheme="majorHAnsi" w:cstheme="majorHAnsi"/>
          <w:color w:val="000000"/>
          <w:lang w:val="en-US"/>
        </w:rPr>
      </w:pPr>
      <w:r w:rsidRPr="0014556C">
        <w:rPr>
          <w:rFonts w:asciiTheme="majorHAnsi" w:eastAsiaTheme="minorEastAsia" w:hAnsiTheme="majorHAnsi" w:cstheme="majorHAnsi"/>
          <w:b/>
          <w:bCs/>
          <w:color w:val="000000"/>
          <w:lang w:val="en-US"/>
        </w:rPr>
        <w:t>The Genome Foundry at the University of Edinburgh</w:t>
      </w:r>
      <w:r w:rsidRPr="0014556C">
        <w:rPr>
          <w:rFonts w:asciiTheme="majorHAnsi" w:eastAsiaTheme="minorEastAsia" w:hAnsiTheme="majorHAnsi" w:cstheme="majorHAnsi"/>
          <w:color w:val="000000"/>
          <w:lang w:val="en-US"/>
        </w:rPr>
        <w:t xml:space="preserve"> </w:t>
      </w:r>
      <w:r w:rsidRPr="0014556C">
        <w:rPr>
          <w:rFonts w:asciiTheme="majorHAnsi" w:eastAsiaTheme="minorEastAsia" w:hAnsiTheme="majorHAnsi" w:cstheme="majorHAnsi"/>
          <w:lang w:val="en-US"/>
        </w:rPr>
        <w:t>is a</w:t>
      </w:r>
      <w:r w:rsidRPr="0014556C">
        <w:rPr>
          <w:rFonts w:asciiTheme="majorHAnsi" w:hAnsiTheme="majorHAnsi" w:cstheme="majorHAnsi"/>
        </w:rPr>
        <w:t>n engineering biology research facility specialising in the modular, automated assembly of DNA constructs (</w:t>
      </w:r>
      <w:hyperlink r:id="rId33" w:history="1">
        <w:r w:rsidRPr="0014556C">
          <w:rPr>
            <w:rStyle w:val="Hyperlink"/>
            <w:rFonts w:asciiTheme="majorHAnsi" w:hAnsiTheme="majorHAnsi" w:cstheme="majorHAnsi"/>
          </w:rPr>
          <w:t>https://www.ed.ac.uk/biology/research/facilities/edinburgh-genome-foundry</w:t>
        </w:r>
      </w:hyperlink>
      <w:r w:rsidRPr="0014556C">
        <w:rPr>
          <w:rFonts w:asciiTheme="majorHAnsi" w:hAnsiTheme="majorHAnsi" w:cstheme="majorHAnsi"/>
        </w:rPr>
        <w:t xml:space="preserve">). It </w:t>
      </w:r>
      <w:r w:rsidRPr="0014556C">
        <w:rPr>
          <w:rFonts w:asciiTheme="majorHAnsi" w:eastAsiaTheme="minorEastAsia" w:hAnsiTheme="majorHAnsi" w:cstheme="majorHAnsi"/>
          <w:color w:val="000000"/>
          <w:lang w:val="en-US"/>
        </w:rPr>
        <w:t xml:space="preserve">has highly modulated robotic platforms that are currently used for developing gene therapies, vaccines and personalized medicine. These platforms could be adapted to </w:t>
      </w:r>
      <w:r w:rsidR="00CE7C6E" w:rsidRPr="0014556C">
        <w:rPr>
          <w:rFonts w:asciiTheme="majorHAnsi" w:eastAsiaTheme="minorEastAsia" w:hAnsiTheme="majorHAnsi" w:cstheme="majorHAnsi"/>
          <w:color w:val="000000"/>
          <w:lang w:val="en-US"/>
        </w:rPr>
        <w:t xml:space="preserve">generate single guide RNAs at scale to </w:t>
      </w:r>
      <w:r w:rsidRPr="0014556C">
        <w:rPr>
          <w:rFonts w:asciiTheme="majorHAnsi" w:eastAsiaTheme="minorEastAsia" w:hAnsiTheme="majorHAnsi" w:cstheme="majorHAnsi"/>
          <w:color w:val="000000"/>
          <w:lang w:val="en-US"/>
        </w:rPr>
        <w:t xml:space="preserve">screen hundreds of thousands of causal variants from farmed animals, through </w:t>
      </w:r>
      <w:r w:rsidR="00CE7C6E" w:rsidRPr="0014556C">
        <w:rPr>
          <w:rFonts w:asciiTheme="majorHAnsi" w:eastAsiaTheme="minorEastAsia" w:hAnsiTheme="majorHAnsi" w:cstheme="majorHAnsi"/>
          <w:color w:val="000000"/>
          <w:lang w:val="en-US"/>
        </w:rPr>
        <w:t>precision</w:t>
      </w:r>
      <w:r w:rsidRPr="0014556C">
        <w:rPr>
          <w:rFonts w:asciiTheme="majorHAnsi" w:eastAsiaTheme="minorEastAsia" w:hAnsiTheme="majorHAnsi" w:cstheme="majorHAnsi"/>
          <w:color w:val="000000"/>
          <w:lang w:val="en-US"/>
        </w:rPr>
        <w:t xml:space="preserve"> design and implementation of highly automated CRISPR screens. </w:t>
      </w:r>
      <w:r w:rsidR="00CE7C6E" w:rsidRPr="0014556C">
        <w:rPr>
          <w:rFonts w:asciiTheme="majorHAnsi" w:eastAsiaTheme="minorEastAsia" w:hAnsiTheme="majorHAnsi" w:cstheme="majorHAnsi"/>
          <w:color w:val="000000"/>
          <w:lang w:val="en-US"/>
        </w:rPr>
        <w:t>UEDIN</w:t>
      </w:r>
      <w:r w:rsidRPr="0014556C">
        <w:rPr>
          <w:rFonts w:asciiTheme="majorHAnsi" w:eastAsiaTheme="minorEastAsia" w:hAnsiTheme="majorHAnsi" w:cstheme="majorHAnsi"/>
          <w:color w:val="000000"/>
          <w:lang w:val="en-US"/>
        </w:rPr>
        <w:t xml:space="preserve"> </w:t>
      </w:r>
      <w:r w:rsidR="00CE7C6E" w:rsidRPr="0014556C">
        <w:rPr>
          <w:rFonts w:asciiTheme="majorHAnsi" w:eastAsiaTheme="minorEastAsia" w:hAnsiTheme="majorHAnsi" w:cstheme="majorHAnsi"/>
          <w:color w:val="000000"/>
          <w:lang w:val="en-US"/>
        </w:rPr>
        <w:t>is working with</w:t>
      </w:r>
      <w:r w:rsidRPr="0014556C">
        <w:rPr>
          <w:rFonts w:asciiTheme="majorHAnsi" w:eastAsiaTheme="minorEastAsia" w:hAnsiTheme="majorHAnsi" w:cstheme="majorHAnsi"/>
          <w:color w:val="000000"/>
          <w:lang w:val="en-US"/>
        </w:rPr>
        <w:t xml:space="preserve"> the Genome Foundry on a workflow and access framework describing functionality and a model for transnational access</w:t>
      </w:r>
      <w:r w:rsidR="00CE7C6E" w:rsidRPr="0014556C">
        <w:rPr>
          <w:rFonts w:asciiTheme="majorHAnsi" w:eastAsiaTheme="minorEastAsia" w:hAnsiTheme="majorHAnsi" w:cstheme="majorHAnsi"/>
          <w:color w:val="000000"/>
          <w:lang w:val="en-US"/>
        </w:rPr>
        <w:t xml:space="preserve"> for sgRNA synthesis</w:t>
      </w:r>
      <w:r w:rsidRPr="0014556C">
        <w:rPr>
          <w:rFonts w:asciiTheme="majorHAnsi" w:eastAsiaTheme="minorEastAsia" w:hAnsiTheme="majorHAnsi" w:cstheme="majorHAnsi"/>
          <w:color w:val="000000"/>
          <w:lang w:val="en-US"/>
        </w:rPr>
        <w:t>.</w:t>
      </w:r>
      <w:r w:rsidR="002567A7" w:rsidRPr="0014556C">
        <w:rPr>
          <w:rFonts w:asciiTheme="majorHAnsi" w:eastAsiaTheme="minorEastAsia" w:hAnsiTheme="majorHAnsi" w:cstheme="majorHAnsi"/>
          <w:color w:val="000000"/>
          <w:lang w:val="en-US"/>
        </w:rPr>
        <w:t xml:space="preserve"> This will be added to D5.1 in the next 18 months.</w:t>
      </w:r>
      <w:r w:rsidRPr="0014556C">
        <w:rPr>
          <w:rFonts w:asciiTheme="majorHAnsi" w:eastAsiaTheme="minorEastAsia" w:hAnsiTheme="majorHAnsi" w:cstheme="majorHAnsi"/>
          <w:color w:val="000000"/>
          <w:lang w:val="en-US"/>
        </w:rPr>
        <w:t xml:space="preserve"> Currently the facility can be accessed for a fee by both University of Edinburgh and external users. </w:t>
      </w:r>
    </w:p>
    <w:p w14:paraId="17F869AC" w14:textId="77777777" w:rsidR="00E965AE" w:rsidRPr="0014556C" w:rsidRDefault="00E965AE" w:rsidP="00E965AE">
      <w:pPr>
        <w:rPr>
          <w:rFonts w:asciiTheme="majorHAnsi" w:hAnsiTheme="majorHAnsi" w:cstheme="majorHAnsi"/>
          <w:lang w:val="en-US"/>
        </w:rPr>
      </w:pPr>
    </w:p>
    <w:p w14:paraId="0CE9A40E" w14:textId="66E697EF" w:rsidR="00CE7C6E" w:rsidRPr="0014556C" w:rsidRDefault="00CE7C6E" w:rsidP="00194EB9">
      <w:pPr>
        <w:pStyle w:val="Heading2"/>
        <w:rPr>
          <w:rFonts w:asciiTheme="majorHAnsi" w:hAnsiTheme="majorHAnsi" w:cstheme="majorHAnsi"/>
        </w:rPr>
      </w:pPr>
      <w:bookmarkStart w:id="20" w:name="_Toc170418880"/>
      <w:r w:rsidRPr="0014556C">
        <w:rPr>
          <w:rFonts w:asciiTheme="majorHAnsi" w:hAnsiTheme="majorHAnsi" w:cstheme="majorHAnsi"/>
        </w:rPr>
        <w:t xml:space="preserve">An access framework for high-throughput </w:t>
      </w:r>
      <w:r w:rsidR="004D455C" w:rsidRPr="0014556C">
        <w:rPr>
          <w:rFonts w:asciiTheme="majorHAnsi" w:hAnsiTheme="majorHAnsi" w:cstheme="majorHAnsi"/>
        </w:rPr>
        <w:t xml:space="preserve">cellular </w:t>
      </w:r>
      <w:r w:rsidRPr="0014556C">
        <w:rPr>
          <w:rFonts w:asciiTheme="majorHAnsi" w:hAnsiTheme="majorHAnsi" w:cstheme="majorHAnsi"/>
        </w:rPr>
        <w:t>phenotyping and CRISPR screens</w:t>
      </w:r>
      <w:bookmarkEnd w:id="20"/>
    </w:p>
    <w:p w14:paraId="4DA350CF" w14:textId="41AE3D6E" w:rsidR="00A71DE5" w:rsidRPr="0014556C" w:rsidRDefault="00A71DE5" w:rsidP="00A71DE5">
      <w:pPr>
        <w:jc w:val="both"/>
        <w:rPr>
          <w:rFonts w:asciiTheme="majorHAnsi" w:hAnsiTheme="majorHAnsi" w:cstheme="majorHAnsi"/>
        </w:rPr>
      </w:pPr>
      <w:r w:rsidRPr="0014556C">
        <w:rPr>
          <w:rFonts w:asciiTheme="majorHAnsi" w:hAnsiTheme="majorHAnsi" w:cstheme="majorHAnsi"/>
        </w:rPr>
        <w:t>Based on the outcomes of the activities described above UEDIN put together a hypothetical access request</w:t>
      </w:r>
      <w:r w:rsidR="00391381" w:rsidRPr="0014556C">
        <w:rPr>
          <w:rFonts w:asciiTheme="majorHAnsi" w:hAnsiTheme="majorHAnsi" w:cstheme="majorHAnsi"/>
        </w:rPr>
        <w:t xml:space="preserve"> example</w:t>
      </w:r>
      <w:r w:rsidR="00C82DF3" w:rsidRPr="0014556C">
        <w:rPr>
          <w:rFonts w:asciiTheme="majorHAnsi" w:hAnsiTheme="majorHAnsi" w:cstheme="majorHAnsi"/>
        </w:rPr>
        <w:t xml:space="preserve"> to the </w:t>
      </w:r>
      <w:proofErr w:type="spellStart"/>
      <w:r w:rsidR="00C82DF3" w:rsidRPr="0014556C">
        <w:rPr>
          <w:rFonts w:asciiTheme="majorHAnsi" w:hAnsiTheme="majorHAnsi" w:cstheme="majorHAnsi"/>
        </w:rPr>
        <w:t>EuroFAANG</w:t>
      </w:r>
      <w:proofErr w:type="spellEnd"/>
      <w:r w:rsidR="00C82DF3" w:rsidRPr="0014556C">
        <w:rPr>
          <w:rFonts w:asciiTheme="majorHAnsi" w:hAnsiTheme="majorHAnsi" w:cstheme="majorHAnsi"/>
        </w:rPr>
        <w:t xml:space="preserve"> RI to identify resistance alleles for a viral pathogen using high-throughput CRISPR screens</w:t>
      </w:r>
      <w:r w:rsidRPr="0014556C">
        <w:rPr>
          <w:rFonts w:asciiTheme="majorHAnsi" w:hAnsiTheme="majorHAnsi" w:cstheme="majorHAnsi"/>
        </w:rPr>
        <w:t xml:space="preserve"> (Figure 4). This </w:t>
      </w:r>
      <w:r w:rsidR="00C82DF3" w:rsidRPr="0014556C">
        <w:rPr>
          <w:rFonts w:asciiTheme="majorHAnsi" w:hAnsiTheme="majorHAnsi" w:cstheme="majorHAnsi"/>
        </w:rPr>
        <w:t>concept was presented at the</w:t>
      </w:r>
      <w:r w:rsidR="002567A7" w:rsidRPr="0014556C">
        <w:rPr>
          <w:rFonts w:asciiTheme="majorHAnsi" w:hAnsiTheme="majorHAnsi" w:cstheme="majorHAnsi"/>
        </w:rPr>
        <w:t xml:space="preserve"> </w:t>
      </w:r>
      <w:proofErr w:type="spellStart"/>
      <w:r w:rsidR="002567A7" w:rsidRPr="0014556C">
        <w:rPr>
          <w:rFonts w:asciiTheme="majorHAnsi" w:hAnsiTheme="majorHAnsi" w:cstheme="majorHAnsi"/>
        </w:rPr>
        <w:t>EuroFAANG</w:t>
      </w:r>
      <w:proofErr w:type="spellEnd"/>
      <w:r w:rsidR="002567A7" w:rsidRPr="0014556C">
        <w:rPr>
          <w:rFonts w:asciiTheme="majorHAnsi" w:hAnsiTheme="majorHAnsi" w:cstheme="majorHAnsi"/>
        </w:rPr>
        <w:t xml:space="preserve"> global networking event at the PAG conference in San Diego in January 2024 (D8.1), the</w:t>
      </w:r>
      <w:r w:rsidR="00C82DF3" w:rsidRPr="0014556C">
        <w:rPr>
          <w:rFonts w:asciiTheme="majorHAnsi" w:hAnsiTheme="majorHAnsi" w:cstheme="majorHAnsi"/>
        </w:rPr>
        <w:t xml:space="preserve"> AGBT-Ag meeting in Phoenix in April 2024 </w:t>
      </w:r>
      <w:proofErr w:type="gramStart"/>
      <w:r w:rsidR="00C82DF3" w:rsidRPr="0014556C">
        <w:rPr>
          <w:rFonts w:asciiTheme="majorHAnsi" w:hAnsiTheme="majorHAnsi" w:cstheme="majorHAnsi"/>
        </w:rPr>
        <w:t>and also</w:t>
      </w:r>
      <w:proofErr w:type="gramEnd"/>
      <w:r w:rsidR="002567A7" w:rsidRPr="0014556C">
        <w:rPr>
          <w:rFonts w:asciiTheme="majorHAnsi" w:hAnsiTheme="majorHAnsi" w:cstheme="majorHAnsi"/>
        </w:rPr>
        <w:t xml:space="preserve"> in the </w:t>
      </w:r>
      <w:r w:rsidR="002567A7" w:rsidRPr="0014556C">
        <w:rPr>
          <w:rFonts w:asciiTheme="majorHAnsi" w:hAnsiTheme="majorHAnsi" w:cstheme="majorHAnsi"/>
        </w:rPr>
        <w:lastRenderedPageBreak/>
        <w:t xml:space="preserve">introduction to </w:t>
      </w:r>
      <w:proofErr w:type="spellStart"/>
      <w:r w:rsidR="002567A7" w:rsidRPr="0014556C">
        <w:rPr>
          <w:rFonts w:asciiTheme="majorHAnsi" w:hAnsiTheme="majorHAnsi" w:cstheme="majorHAnsi"/>
        </w:rPr>
        <w:t>EuroFAANG</w:t>
      </w:r>
      <w:proofErr w:type="spellEnd"/>
      <w:r w:rsidR="00C82DF3" w:rsidRPr="0014556C">
        <w:rPr>
          <w:rFonts w:asciiTheme="majorHAnsi" w:hAnsiTheme="majorHAnsi" w:cstheme="majorHAnsi"/>
        </w:rPr>
        <w:t xml:space="preserve"> ahead of the webinar given by Hao Cheng at </w:t>
      </w:r>
      <w:proofErr w:type="spellStart"/>
      <w:r w:rsidR="00C82DF3" w:rsidRPr="0014556C">
        <w:rPr>
          <w:rFonts w:asciiTheme="majorHAnsi" w:hAnsiTheme="majorHAnsi" w:cstheme="majorHAnsi"/>
        </w:rPr>
        <w:t>UCDavis</w:t>
      </w:r>
      <w:proofErr w:type="spellEnd"/>
      <w:r w:rsidR="00C82DF3" w:rsidRPr="0014556C">
        <w:rPr>
          <w:rFonts w:asciiTheme="majorHAnsi" w:hAnsiTheme="majorHAnsi" w:cstheme="majorHAnsi"/>
        </w:rPr>
        <w:t xml:space="preserve"> for WP6 on using encryption to share data between industry and academic partners.</w:t>
      </w:r>
    </w:p>
    <w:p w14:paraId="2A05F63D" w14:textId="77777777" w:rsidR="00C82DF3" w:rsidRPr="0014556C" w:rsidRDefault="00C82DF3" w:rsidP="00A71DE5">
      <w:pPr>
        <w:jc w:val="both"/>
        <w:rPr>
          <w:rFonts w:asciiTheme="majorHAnsi" w:hAnsiTheme="majorHAnsi" w:cstheme="majorHAnsi"/>
        </w:rPr>
      </w:pPr>
    </w:p>
    <w:p w14:paraId="232D1324" w14:textId="6F4C0CE2" w:rsidR="00C82DF3" w:rsidRPr="0014556C" w:rsidRDefault="00C82DF3" w:rsidP="00A71DE5">
      <w:pPr>
        <w:jc w:val="both"/>
        <w:rPr>
          <w:rFonts w:asciiTheme="majorHAnsi" w:hAnsiTheme="majorHAnsi" w:cstheme="majorHAnsi"/>
        </w:rPr>
      </w:pPr>
      <w:r w:rsidRPr="0014556C">
        <w:rPr>
          <w:rFonts w:asciiTheme="majorHAnsi" w:hAnsiTheme="majorHAnsi" w:cstheme="majorHAnsi"/>
        </w:rPr>
        <w:t xml:space="preserve">The concept is based on a researcher who is focused on swine research and has access to a pathogen e.g. ASFV and suitable facilities to perform infections. The researcher doesn’t however have access to suitable </w:t>
      </w:r>
      <w:r w:rsidRPr="0014556C">
        <w:rPr>
          <w:rFonts w:asciiTheme="majorHAnsi" w:hAnsiTheme="majorHAnsi" w:cstheme="majorHAnsi"/>
          <w:i/>
          <w:iCs/>
        </w:rPr>
        <w:t xml:space="preserve">in vitro </w:t>
      </w:r>
      <w:r w:rsidRPr="0014556C">
        <w:rPr>
          <w:rFonts w:asciiTheme="majorHAnsi" w:hAnsiTheme="majorHAnsi" w:cstheme="majorHAnsi"/>
        </w:rPr>
        <w:t xml:space="preserve">cellular models </w:t>
      </w:r>
      <w:r w:rsidR="0014556C">
        <w:rPr>
          <w:rFonts w:asciiTheme="majorHAnsi" w:hAnsiTheme="majorHAnsi" w:cstheme="majorHAnsi"/>
        </w:rPr>
        <w:t xml:space="preserve">(WP4) </w:t>
      </w:r>
      <w:r w:rsidRPr="0014556C">
        <w:rPr>
          <w:rFonts w:asciiTheme="majorHAnsi" w:hAnsiTheme="majorHAnsi" w:cstheme="majorHAnsi"/>
        </w:rPr>
        <w:t>and sgRNA libraries</w:t>
      </w:r>
      <w:r w:rsidR="0014556C">
        <w:rPr>
          <w:rFonts w:asciiTheme="majorHAnsi" w:hAnsiTheme="majorHAnsi" w:cstheme="majorHAnsi"/>
        </w:rPr>
        <w:t xml:space="preserve"> (WP5)</w:t>
      </w:r>
      <w:r w:rsidRPr="0014556C">
        <w:rPr>
          <w:rFonts w:asciiTheme="majorHAnsi" w:hAnsiTheme="majorHAnsi" w:cstheme="majorHAnsi"/>
        </w:rPr>
        <w:t xml:space="preserve"> to perform genome wide CRISPR screens</w:t>
      </w:r>
      <w:r w:rsidR="00191C32" w:rsidRPr="0014556C">
        <w:rPr>
          <w:rFonts w:asciiTheme="majorHAnsi" w:hAnsiTheme="majorHAnsi" w:cstheme="majorHAnsi"/>
        </w:rPr>
        <w:t xml:space="preserve"> to identify resistance alleles</w:t>
      </w:r>
      <w:r w:rsidRPr="0014556C">
        <w:rPr>
          <w:rFonts w:asciiTheme="majorHAnsi" w:hAnsiTheme="majorHAnsi" w:cstheme="majorHAnsi"/>
        </w:rPr>
        <w:t xml:space="preserve"> and would make requests to the </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RI to access these. They would </w:t>
      </w:r>
      <w:r w:rsidR="00191C32" w:rsidRPr="0014556C">
        <w:rPr>
          <w:rFonts w:asciiTheme="majorHAnsi" w:hAnsiTheme="majorHAnsi" w:cstheme="majorHAnsi"/>
        </w:rPr>
        <w:t xml:space="preserve">also </w:t>
      </w:r>
      <w:r w:rsidRPr="0014556C">
        <w:rPr>
          <w:rFonts w:asciiTheme="majorHAnsi" w:hAnsiTheme="majorHAnsi" w:cstheme="majorHAnsi"/>
        </w:rPr>
        <w:t xml:space="preserve">potentially need to access automated </w:t>
      </w:r>
      <w:r w:rsidR="00191C32" w:rsidRPr="0014556C">
        <w:rPr>
          <w:rFonts w:asciiTheme="majorHAnsi" w:hAnsiTheme="majorHAnsi" w:cstheme="majorHAnsi"/>
        </w:rPr>
        <w:t xml:space="preserve">(high throughput) </w:t>
      </w:r>
      <w:r w:rsidRPr="0014556C">
        <w:rPr>
          <w:rFonts w:asciiTheme="majorHAnsi" w:hAnsiTheme="majorHAnsi" w:cstheme="majorHAnsi"/>
        </w:rPr>
        <w:t xml:space="preserve">cell </w:t>
      </w:r>
      <w:r w:rsidR="002567A7" w:rsidRPr="0014556C">
        <w:rPr>
          <w:rFonts w:asciiTheme="majorHAnsi" w:hAnsiTheme="majorHAnsi" w:cstheme="majorHAnsi"/>
        </w:rPr>
        <w:t>phenotyping</w:t>
      </w:r>
      <w:r w:rsidRPr="0014556C">
        <w:rPr>
          <w:rFonts w:asciiTheme="majorHAnsi" w:hAnsiTheme="majorHAnsi" w:cstheme="majorHAnsi"/>
        </w:rPr>
        <w:t xml:space="preserve"> platforms for which additional capacity for farm animals</w:t>
      </w:r>
      <w:r w:rsidR="002567A7" w:rsidRPr="0014556C">
        <w:rPr>
          <w:rFonts w:asciiTheme="majorHAnsi" w:hAnsiTheme="majorHAnsi" w:cstheme="majorHAnsi"/>
        </w:rPr>
        <w:t xml:space="preserve"> for which through work in D5.1 we have determine additional capacity is required</w:t>
      </w:r>
      <w:r w:rsidRPr="0014556C">
        <w:rPr>
          <w:rFonts w:asciiTheme="majorHAnsi" w:hAnsiTheme="majorHAnsi" w:cstheme="majorHAnsi"/>
        </w:rPr>
        <w:t xml:space="preserve">. Sequencing services to generate read outs could be provided </w:t>
      </w:r>
      <w:r w:rsidR="00191C32" w:rsidRPr="0014556C">
        <w:rPr>
          <w:rFonts w:asciiTheme="majorHAnsi" w:hAnsiTheme="majorHAnsi" w:cstheme="majorHAnsi"/>
        </w:rPr>
        <w:t>by</w:t>
      </w:r>
      <w:r w:rsidRPr="0014556C">
        <w:rPr>
          <w:rFonts w:asciiTheme="majorHAnsi" w:hAnsiTheme="majorHAnsi" w:cstheme="majorHAnsi"/>
        </w:rPr>
        <w:t xml:space="preserve"> </w:t>
      </w:r>
      <w:r w:rsidR="002567A7" w:rsidRPr="0014556C">
        <w:rPr>
          <w:rFonts w:asciiTheme="majorHAnsi" w:hAnsiTheme="majorHAnsi" w:cstheme="majorHAnsi"/>
        </w:rPr>
        <w:t xml:space="preserve">a </w:t>
      </w:r>
      <w:r w:rsidRPr="0014556C">
        <w:rPr>
          <w:rFonts w:asciiTheme="majorHAnsi" w:hAnsiTheme="majorHAnsi" w:cstheme="majorHAnsi"/>
        </w:rPr>
        <w:t>commercial provider or another infrastructure</w:t>
      </w:r>
      <w:r w:rsidR="002567A7" w:rsidRPr="0014556C">
        <w:rPr>
          <w:rFonts w:asciiTheme="majorHAnsi" w:hAnsiTheme="majorHAnsi" w:cstheme="majorHAnsi"/>
        </w:rPr>
        <w:t>,</w:t>
      </w:r>
      <w:r w:rsidRPr="0014556C">
        <w:rPr>
          <w:rFonts w:asciiTheme="majorHAnsi" w:hAnsiTheme="majorHAnsi" w:cstheme="majorHAnsi"/>
        </w:rPr>
        <w:t xml:space="preserve"> such as </w:t>
      </w:r>
      <w:proofErr w:type="spellStart"/>
      <w:r w:rsidRPr="0014556C">
        <w:rPr>
          <w:rFonts w:asciiTheme="majorHAnsi" w:hAnsiTheme="majorHAnsi" w:cstheme="majorHAnsi"/>
        </w:rPr>
        <w:t>EASIGenomics</w:t>
      </w:r>
      <w:proofErr w:type="spellEnd"/>
      <w:r w:rsidR="00191C32" w:rsidRPr="0014556C">
        <w:rPr>
          <w:rFonts w:asciiTheme="majorHAnsi" w:hAnsiTheme="majorHAnsi" w:cstheme="majorHAnsi"/>
        </w:rPr>
        <w:t>,</w:t>
      </w:r>
      <w:r w:rsidRPr="0014556C">
        <w:rPr>
          <w:rFonts w:asciiTheme="majorHAnsi" w:hAnsiTheme="majorHAnsi" w:cstheme="majorHAnsi"/>
        </w:rPr>
        <w:t xml:space="preserve"> and the data </w:t>
      </w:r>
      <w:r w:rsidR="002567A7" w:rsidRPr="0014556C">
        <w:rPr>
          <w:rFonts w:asciiTheme="majorHAnsi" w:hAnsiTheme="majorHAnsi" w:cstheme="majorHAnsi"/>
        </w:rPr>
        <w:t>(e.g. from the H2020 GENE-</w:t>
      </w:r>
      <w:proofErr w:type="spellStart"/>
      <w:r w:rsidR="002567A7" w:rsidRPr="0014556C">
        <w:rPr>
          <w:rFonts w:asciiTheme="majorHAnsi" w:hAnsiTheme="majorHAnsi" w:cstheme="majorHAnsi"/>
        </w:rPr>
        <w:t>SWitCH</w:t>
      </w:r>
      <w:proofErr w:type="spellEnd"/>
      <w:r w:rsidR="002567A7" w:rsidRPr="0014556C">
        <w:rPr>
          <w:rFonts w:asciiTheme="majorHAnsi" w:hAnsiTheme="majorHAnsi" w:cstheme="majorHAnsi"/>
        </w:rPr>
        <w:t xml:space="preserve"> project) </w:t>
      </w:r>
      <w:r w:rsidRPr="0014556C">
        <w:rPr>
          <w:rFonts w:asciiTheme="majorHAnsi" w:hAnsiTheme="majorHAnsi" w:cstheme="majorHAnsi"/>
        </w:rPr>
        <w:t>could be curated and interrogated via the FAANG/</w:t>
      </w:r>
      <w:proofErr w:type="spellStart"/>
      <w:r w:rsidRPr="0014556C">
        <w:rPr>
          <w:rFonts w:asciiTheme="majorHAnsi" w:hAnsiTheme="majorHAnsi" w:cstheme="majorHAnsi"/>
        </w:rPr>
        <w:t>EuroFAANG</w:t>
      </w:r>
      <w:proofErr w:type="spellEnd"/>
      <w:r w:rsidRPr="0014556C">
        <w:rPr>
          <w:rFonts w:asciiTheme="majorHAnsi" w:hAnsiTheme="majorHAnsi" w:cstheme="majorHAnsi"/>
        </w:rPr>
        <w:t xml:space="preserve"> data portal via EMBL-EBI</w:t>
      </w:r>
      <w:r w:rsidR="0014556C">
        <w:rPr>
          <w:rFonts w:asciiTheme="majorHAnsi" w:hAnsiTheme="majorHAnsi" w:cstheme="majorHAnsi"/>
        </w:rPr>
        <w:t xml:space="preserve"> (WP3)</w:t>
      </w:r>
      <w:r w:rsidRPr="0014556C">
        <w:rPr>
          <w:rFonts w:asciiTheme="majorHAnsi" w:hAnsiTheme="majorHAnsi" w:cstheme="majorHAnsi"/>
        </w:rPr>
        <w:t xml:space="preserve">. </w:t>
      </w:r>
    </w:p>
    <w:p w14:paraId="42F00481" w14:textId="77777777" w:rsidR="00CE7C6E" w:rsidRPr="0014556C" w:rsidRDefault="00CE7C6E" w:rsidP="00CE5C8B">
      <w:pPr>
        <w:rPr>
          <w:rFonts w:asciiTheme="majorHAnsi" w:hAnsiTheme="majorHAnsi" w:cstheme="majorHAnsi"/>
          <w:b/>
          <w:bCs/>
        </w:rPr>
      </w:pPr>
    </w:p>
    <w:p w14:paraId="5E7EFB0D" w14:textId="4151ABDA" w:rsidR="00122463" w:rsidRPr="0014556C" w:rsidRDefault="00CE7C6E" w:rsidP="00CE5C8B">
      <w:pPr>
        <w:rPr>
          <w:rFonts w:asciiTheme="majorHAnsi" w:hAnsiTheme="majorHAnsi" w:cstheme="majorHAnsi"/>
          <w:b/>
          <w:bCs/>
        </w:rPr>
      </w:pPr>
      <w:r w:rsidRPr="0014556C">
        <w:rPr>
          <w:rFonts w:asciiTheme="majorHAnsi" w:hAnsiTheme="majorHAnsi" w:cstheme="majorHAnsi"/>
          <w:b/>
          <w:bCs/>
          <w:noProof/>
        </w:rPr>
        <w:drawing>
          <wp:inline distT="0" distB="0" distL="0" distR="0" wp14:anchorId="4230D1BC" wp14:editId="62EBAF8A">
            <wp:extent cx="5490845" cy="3049270"/>
            <wp:effectExtent l="12700" t="12700" r="8255" b="11430"/>
            <wp:docPr id="580151846" name="Picture 6" descr="A chart of a cell culture resear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151846" name="Picture 6" descr="A chart of a cell culture research&#10;&#10;Description automatically generated with medium confidenc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90845" cy="3049270"/>
                    </a:xfrm>
                    <a:prstGeom prst="rect">
                      <a:avLst/>
                    </a:prstGeom>
                    <a:ln>
                      <a:solidFill>
                        <a:schemeClr val="accent1"/>
                      </a:solidFill>
                    </a:ln>
                  </pic:spPr>
                </pic:pic>
              </a:graphicData>
            </a:graphic>
          </wp:inline>
        </w:drawing>
      </w:r>
    </w:p>
    <w:p w14:paraId="61F66975" w14:textId="77777777" w:rsidR="00A71DE5" w:rsidRPr="0014556C" w:rsidRDefault="00A71DE5" w:rsidP="00CE5C8B">
      <w:pPr>
        <w:rPr>
          <w:rFonts w:asciiTheme="majorHAnsi" w:hAnsiTheme="majorHAnsi" w:cstheme="majorHAnsi"/>
          <w:b/>
          <w:bCs/>
        </w:rPr>
      </w:pPr>
    </w:p>
    <w:p w14:paraId="6AC28977" w14:textId="3D56CACB" w:rsidR="00966E4E" w:rsidRPr="0014556C" w:rsidRDefault="00A71DE5" w:rsidP="00C82DF3">
      <w:pPr>
        <w:jc w:val="both"/>
        <w:rPr>
          <w:rFonts w:asciiTheme="majorHAnsi" w:hAnsiTheme="majorHAnsi" w:cstheme="majorHAnsi"/>
          <w:b/>
          <w:bCs/>
          <w:i/>
          <w:iCs/>
        </w:rPr>
      </w:pPr>
      <w:r w:rsidRPr="0014556C">
        <w:rPr>
          <w:rFonts w:asciiTheme="majorHAnsi" w:hAnsiTheme="majorHAnsi" w:cstheme="majorHAnsi"/>
          <w:b/>
          <w:bCs/>
          <w:i/>
          <w:iCs/>
        </w:rPr>
        <w:t>Figure 4: A hypothetical example of an access request to</w:t>
      </w:r>
      <w:r w:rsidR="00C82DF3" w:rsidRPr="0014556C">
        <w:rPr>
          <w:rFonts w:asciiTheme="majorHAnsi" w:hAnsiTheme="majorHAnsi" w:cstheme="majorHAnsi"/>
          <w:b/>
          <w:bCs/>
          <w:i/>
          <w:iCs/>
        </w:rPr>
        <w:t xml:space="preserve"> the</w:t>
      </w:r>
      <w:r w:rsidRPr="0014556C">
        <w:rPr>
          <w:rFonts w:asciiTheme="majorHAnsi" w:hAnsiTheme="majorHAnsi" w:cstheme="majorHAnsi"/>
          <w:b/>
          <w:bCs/>
          <w:i/>
          <w:iCs/>
        </w:rPr>
        <w:t xml:space="preserve"> </w:t>
      </w:r>
      <w:proofErr w:type="spellStart"/>
      <w:r w:rsidRPr="0014556C">
        <w:rPr>
          <w:rFonts w:asciiTheme="majorHAnsi" w:hAnsiTheme="majorHAnsi" w:cstheme="majorHAnsi"/>
          <w:b/>
          <w:bCs/>
          <w:i/>
          <w:iCs/>
        </w:rPr>
        <w:t>EuroFAANG</w:t>
      </w:r>
      <w:proofErr w:type="spellEnd"/>
      <w:r w:rsidRPr="0014556C">
        <w:rPr>
          <w:rFonts w:asciiTheme="majorHAnsi" w:hAnsiTheme="majorHAnsi" w:cstheme="majorHAnsi"/>
          <w:b/>
          <w:bCs/>
          <w:i/>
          <w:iCs/>
        </w:rPr>
        <w:t xml:space="preserve"> research infrastructure to identify resistance alleles for a viral pathogen using high-throughput CRISPR screens</w:t>
      </w:r>
      <w:r w:rsidR="002567A7" w:rsidRPr="0014556C">
        <w:rPr>
          <w:rFonts w:asciiTheme="majorHAnsi" w:hAnsiTheme="majorHAnsi" w:cstheme="majorHAnsi"/>
          <w:b/>
          <w:bCs/>
          <w:i/>
          <w:iCs/>
        </w:rPr>
        <w:t xml:space="preserve"> and high-throughput cellular phenotyping</w:t>
      </w:r>
      <w:r w:rsidRPr="0014556C">
        <w:rPr>
          <w:rFonts w:asciiTheme="majorHAnsi" w:hAnsiTheme="majorHAnsi" w:cstheme="majorHAnsi"/>
          <w:b/>
          <w:bCs/>
          <w:i/>
          <w:iCs/>
        </w:rPr>
        <w:t>.</w:t>
      </w:r>
    </w:p>
    <w:p w14:paraId="58AB7784" w14:textId="5A47A4A2" w:rsidR="004C535E" w:rsidRPr="0014556C" w:rsidRDefault="004C535E" w:rsidP="00F83328">
      <w:pPr>
        <w:pStyle w:val="Heading1"/>
        <w:ind w:left="357" w:hanging="357"/>
        <w:rPr>
          <w:rFonts w:asciiTheme="majorHAnsi" w:hAnsiTheme="majorHAnsi" w:cstheme="majorHAnsi"/>
        </w:rPr>
      </w:pPr>
      <w:bookmarkStart w:id="21" w:name="_Toc170418881"/>
      <w:r w:rsidRPr="0014556C">
        <w:rPr>
          <w:rFonts w:asciiTheme="majorHAnsi" w:hAnsiTheme="majorHAnsi" w:cstheme="majorHAnsi"/>
        </w:rPr>
        <w:t>Conclusions</w:t>
      </w:r>
      <w:bookmarkEnd w:id="21"/>
    </w:p>
    <w:p w14:paraId="2AA500D4" w14:textId="34B893AA" w:rsidR="00D85E42" w:rsidRPr="0014556C" w:rsidRDefault="003D7173" w:rsidP="007A511B">
      <w:pPr>
        <w:jc w:val="both"/>
        <w:rPr>
          <w:rFonts w:asciiTheme="majorHAnsi" w:hAnsiTheme="majorHAnsi" w:cstheme="majorHAnsi"/>
          <w:iCs/>
        </w:rPr>
      </w:pPr>
      <w:r w:rsidRPr="0014556C">
        <w:rPr>
          <w:rFonts w:asciiTheme="majorHAnsi" w:hAnsiTheme="majorHAnsi" w:cstheme="majorHAnsi"/>
          <w:iCs/>
        </w:rPr>
        <w:t>CRISPR screens, functional assays such as MPRA, and high-throughput cellular phenotyping platforms</w:t>
      </w:r>
      <w:r w:rsidR="007A511B" w:rsidRPr="0014556C">
        <w:rPr>
          <w:rFonts w:asciiTheme="majorHAnsi" w:hAnsiTheme="majorHAnsi" w:cstheme="majorHAnsi"/>
          <w:iCs/>
        </w:rPr>
        <w:t xml:space="preserve"> </w:t>
      </w:r>
      <w:r w:rsidR="00D85E42" w:rsidRPr="0014556C">
        <w:rPr>
          <w:rFonts w:asciiTheme="majorHAnsi" w:hAnsiTheme="majorHAnsi" w:cstheme="majorHAnsi"/>
          <w:iCs/>
        </w:rPr>
        <w:t>provide</w:t>
      </w:r>
      <w:r w:rsidR="007A511B" w:rsidRPr="0014556C">
        <w:rPr>
          <w:rFonts w:asciiTheme="majorHAnsi" w:hAnsiTheme="majorHAnsi" w:cstheme="majorHAnsi"/>
          <w:iCs/>
        </w:rPr>
        <w:t xml:space="preserve"> </w:t>
      </w:r>
      <w:r w:rsidR="00434339" w:rsidRPr="0014556C">
        <w:rPr>
          <w:rFonts w:asciiTheme="majorHAnsi" w:hAnsiTheme="majorHAnsi" w:cstheme="majorHAnsi"/>
          <w:iCs/>
        </w:rPr>
        <w:t>tools</w:t>
      </w:r>
      <w:r w:rsidRPr="0014556C">
        <w:rPr>
          <w:rFonts w:asciiTheme="majorHAnsi" w:hAnsiTheme="majorHAnsi" w:cstheme="majorHAnsi"/>
          <w:iCs/>
        </w:rPr>
        <w:t xml:space="preserve"> that are beyond the state of the art</w:t>
      </w:r>
      <w:r w:rsidR="00434339" w:rsidRPr="0014556C">
        <w:rPr>
          <w:rFonts w:asciiTheme="majorHAnsi" w:hAnsiTheme="majorHAnsi" w:cstheme="majorHAnsi"/>
          <w:iCs/>
        </w:rPr>
        <w:t xml:space="preserve"> for </w:t>
      </w:r>
      <w:r w:rsidR="00277573" w:rsidRPr="0014556C">
        <w:rPr>
          <w:rFonts w:asciiTheme="majorHAnsi" w:hAnsiTheme="majorHAnsi" w:cstheme="majorHAnsi"/>
          <w:iCs/>
        </w:rPr>
        <w:t>genotype-to-phenotype research in farmed animals</w:t>
      </w:r>
      <w:r w:rsidRPr="0014556C">
        <w:rPr>
          <w:rFonts w:asciiTheme="majorHAnsi" w:hAnsiTheme="majorHAnsi" w:cstheme="majorHAnsi"/>
          <w:iCs/>
        </w:rPr>
        <w:t>.</w:t>
      </w:r>
      <w:r w:rsidR="00277573" w:rsidRPr="0014556C">
        <w:rPr>
          <w:rFonts w:asciiTheme="majorHAnsi" w:hAnsiTheme="majorHAnsi" w:cstheme="majorHAnsi"/>
          <w:iCs/>
        </w:rPr>
        <w:t xml:space="preserve"> </w:t>
      </w:r>
      <w:r w:rsidRPr="0014556C">
        <w:rPr>
          <w:rFonts w:asciiTheme="majorHAnsi" w:hAnsiTheme="majorHAnsi" w:cstheme="majorHAnsi"/>
          <w:iCs/>
        </w:rPr>
        <w:t>They have potential to inform</w:t>
      </w:r>
      <w:r w:rsidR="00277573" w:rsidRPr="0014556C">
        <w:rPr>
          <w:rFonts w:asciiTheme="majorHAnsi" w:hAnsiTheme="majorHAnsi" w:cstheme="majorHAnsi"/>
          <w:iCs/>
        </w:rPr>
        <w:t xml:space="preserve"> farmed animal breeding in Europe</w:t>
      </w:r>
      <w:r w:rsidRPr="0014556C">
        <w:rPr>
          <w:rFonts w:asciiTheme="majorHAnsi" w:hAnsiTheme="majorHAnsi" w:cstheme="majorHAnsi"/>
          <w:iCs/>
        </w:rPr>
        <w:t xml:space="preserve"> through identifying </w:t>
      </w:r>
      <w:r w:rsidR="00D85E42" w:rsidRPr="0014556C">
        <w:rPr>
          <w:rFonts w:asciiTheme="majorHAnsi" w:hAnsiTheme="majorHAnsi" w:cstheme="majorHAnsi"/>
          <w:iCs/>
        </w:rPr>
        <w:t>functional</w:t>
      </w:r>
      <w:r w:rsidRPr="0014556C">
        <w:rPr>
          <w:rFonts w:asciiTheme="majorHAnsi" w:hAnsiTheme="majorHAnsi" w:cstheme="majorHAnsi"/>
          <w:iCs/>
        </w:rPr>
        <w:t xml:space="preserve"> genetic variation e.g. resistance alleles to viral pathogens, that can be harnessed in breeding programmes, </w:t>
      </w:r>
      <w:r w:rsidR="00D85E42" w:rsidRPr="0014556C">
        <w:rPr>
          <w:rFonts w:asciiTheme="majorHAnsi" w:hAnsiTheme="majorHAnsi" w:cstheme="majorHAnsi"/>
          <w:iCs/>
        </w:rPr>
        <w:t>and for the discovery of</w:t>
      </w:r>
      <w:r w:rsidRPr="0014556C">
        <w:rPr>
          <w:rFonts w:asciiTheme="majorHAnsi" w:hAnsiTheme="majorHAnsi" w:cstheme="majorHAnsi"/>
          <w:iCs/>
        </w:rPr>
        <w:t xml:space="preserve"> new targets for genome editing, to improve animal health, welfare and productivity</w:t>
      </w:r>
      <w:r w:rsidR="007A511B" w:rsidRPr="0014556C">
        <w:rPr>
          <w:rFonts w:asciiTheme="majorHAnsi" w:hAnsiTheme="majorHAnsi" w:cstheme="majorHAnsi"/>
          <w:iCs/>
        </w:rPr>
        <w:t xml:space="preserve">. </w:t>
      </w:r>
    </w:p>
    <w:p w14:paraId="27FE84EA" w14:textId="77777777" w:rsidR="00D85E42" w:rsidRPr="0014556C" w:rsidRDefault="00D85E42" w:rsidP="007A511B">
      <w:pPr>
        <w:jc w:val="both"/>
        <w:rPr>
          <w:rFonts w:asciiTheme="majorHAnsi" w:hAnsiTheme="majorHAnsi" w:cstheme="majorHAnsi"/>
          <w:iCs/>
        </w:rPr>
      </w:pPr>
    </w:p>
    <w:p w14:paraId="78F3C01A" w14:textId="015619DA" w:rsidR="00D85E42" w:rsidRPr="0014556C" w:rsidRDefault="00D85E42" w:rsidP="00D85E42">
      <w:pPr>
        <w:jc w:val="both"/>
        <w:rPr>
          <w:rFonts w:asciiTheme="majorHAnsi" w:hAnsiTheme="majorHAnsi" w:cstheme="majorHAnsi"/>
          <w:iCs/>
        </w:rPr>
      </w:pPr>
      <w:r w:rsidRPr="0014556C">
        <w:rPr>
          <w:rFonts w:asciiTheme="majorHAnsi" w:hAnsiTheme="majorHAnsi" w:cstheme="majorHAnsi"/>
          <w:iCs/>
        </w:rPr>
        <w:t>I</w:t>
      </w:r>
      <w:r w:rsidRPr="0014556C">
        <w:rPr>
          <w:rFonts w:asciiTheme="majorHAnsi" w:hAnsiTheme="majorHAnsi" w:cstheme="majorHAnsi"/>
          <w:iCs/>
        </w:rPr>
        <w:t xml:space="preserve">n Deliverable 5.1, through the European Think-Tank on genome editing, UEDIN and EFFAB identified the main opportunities, priorities and barriers to </w:t>
      </w:r>
      <w:r w:rsidRPr="0014556C">
        <w:rPr>
          <w:rFonts w:asciiTheme="majorHAnsi" w:hAnsiTheme="majorHAnsi" w:cstheme="majorHAnsi"/>
          <w:iCs/>
        </w:rPr>
        <w:t>applying</w:t>
      </w:r>
      <w:r w:rsidRPr="0014556C">
        <w:rPr>
          <w:rFonts w:asciiTheme="majorHAnsi" w:hAnsiTheme="majorHAnsi" w:cstheme="majorHAnsi"/>
          <w:iCs/>
        </w:rPr>
        <w:t xml:space="preserve"> these </w:t>
      </w:r>
      <w:r w:rsidRPr="0014556C">
        <w:rPr>
          <w:rFonts w:asciiTheme="majorHAnsi" w:hAnsiTheme="majorHAnsi" w:cstheme="majorHAnsi"/>
          <w:iCs/>
        </w:rPr>
        <w:lastRenderedPageBreak/>
        <w:t>technologies. We were also able to build collaboration and raise awareness of the potential of the technolog</w:t>
      </w:r>
      <w:r w:rsidR="00463CDC" w:rsidRPr="0014556C">
        <w:rPr>
          <w:rFonts w:asciiTheme="majorHAnsi" w:hAnsiTheme="majorHAnsi" w:cstheme="majorHAnsi"/>
          <w:iCs/>
        </w:rPr>
        <w:t>ies</w:t>
      </w:r>
      <w:r w:rsidRPr="0014556C">
        <w:rPr>
          <w:rFonts w:asciiTheme="majorHAnsi" w:hAnsiTheme="majorHAnsi" w:cstheme="majorHAnsi"/>
          <w:iCs/>
        </w:rPr>
        <w:t xml:space="preserve"> for G2P research in farmed animals via a webinar given by an expert in the field</w:t>
      </w:r>
      <w:r w:rsidR="00916DFB">
        <w:rPr>
          <w:rFonts w:asciiTheme="majorHAnsi" w:hAnsiTheme="majorHAnsi" w:cstheme="majorHAnsi"/>
          <w:iCs/>
        </w:rPr>
        <w:t xml:space="preserve"> from UEDIN</w:t>
      </w:r>
      <w:r w:rsidRPr="0014556C">
        <w:rPr>
          <w:rFonts w:asciiTheme="majorHAnsi" w:hAnsiTheme="majorHAnsi" w:cstheme="majorHAnsi"/>
          <w:iCs/>
        </w:rPr>
        <w:t xml:space="preserve">. </w:t>
      </w:r>
    </w:p>
    <w:p w14:paraId="60FA2F41" w14:textId="77777777" w:rsidR="00D85E42" w:rsidRPr="0014556C" w:rsidRDefault="00D85E42" w:rsidP="007A511B">
      <w:pPr>
        <w:jc w:val="both"/>
        <w:rPr>
          <w:rFonts w:asciiTheme="majorHAnsi" w:hAnsiTheme="majorHAnsi" w:cstheme="majorHAnsi"/>
          <w:iCs/>
        </w:rPr>
      </w:pPr>
    </w:p>
    <w:p w14:paraId="09EB1FE9" w14:textId="6EB6AAC0" w:rsidR="00463CDC" w:rsidRPr="0014556C" w:rsidRDefault="00463CDC" w:rsidP="00D85E42">
      <w:pPr>
        <w:jc w:val="both"/>
        <w:rPr>
          <w:rFonts w:asciiTheme="majorHAnsi" w:hAnsiTheme="majorHAnsi" w:cstheme="majorHAnsi"/>
        </w:rPr>
      </w:pPr>
      <w:r w:rsidRPr="0014556C">
        <w:rPr>
          <w:rFonts w:asciiTheme="majorHAnsi" w:hAnsiTheme="majorHAnsi" w:cstheme="majorHAnsi"/>
        </w:rPr>
        <w:t xml:space="preserve">One of the current barriers to genome editing in farmed animals more broadly is a lack of suitable targets to edit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{"citationID":"Wx5aNUvx","properties":{"formattedCitation":"(15,16)","plainCitation":"(15,16)","noteIndex":0},"citationItems":[{"id":863,"uris":["http://zotero.org/users/13766804/items/GJ74HAJI"],"itemData":{"id":863,"type":"chapter","event-place":"New York, NY","ISBN":"978-1-4939-2493-6","note":"DOI: 10.1007/978-1-4939-2493-6_1122-1","page":"1-16","publisher":"Springer New York","publisher-place":"New York, NY","title":"Breeding in an Era of Genome Editing BT  - Encyclopedia of Sustainability Science and Technology","URL":"https://doi.org/10.1007/978-1-4939-2493-6_1122-1","author":[{"family":"Clark","given":"Emily Louise"}],"editor":[{"family":"Meyers","given":"Robert A"}],"issued":{"date-parts":[["2020"]]}}},{"id":66,"uris":["http://zotero.org/users/13766804/items/8PRCSCCH"],"itemData":{"id":66,"type":"article-journal","abstract":"The human population is growing, and as a result we need to produce more food whilst reducing the impact of farming on the environment. Selective breeding and genomic selection have had a transformational impact on livestock productivity, and now transgenic and genome-editing technologies offer exciting opportunities for the production of fitter, healthier and more-productive livestock. Here, we review recent progress in the application of genome editing to farmed animal species and discuss the potential impact on our ability to produce food.","container-title":"Genome Biology","DOI":"10.1186/s13059-018-1583-1","issue":"1","page":"204","title":"Livestock 2.0 – genome editing for fitter, healthier, and more productive farmed animals","volume":"19","author":[{"family":"Tait-Burkard","given":"Christine"},{"family":"Doeschl-Wilson","given":"Andrea"},{"family":"McGrew","given":"Mike J"},{"family":"Archibald","given":"Alan L"},{"family":"Sang","given":"Helen M"},{"family":"Houston","given":"Ross D"},{"family":"Whitelaw","given":"C Bruce"},{"family":"Watson","given":"Mick"}],"issued":{"date-parts":[["2018"]]}}}],"schema":"https://github.com/citation-style-language/schema/raw/master/csl-citation.json"}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(15,16)</w:t>
      </w:r>
      <w:r w:rsidRPr="0014556C">
        <w:rPr>
          <w:rFonts w:asciiTheme="majorHAnsi" w:hAnsiTheme="majorHAnsi" w:cstheme="majorHAnsi"/>
        </w:rPr>
        <w:fldChar w:fldCharType="end"/>
      </w:r>
      <w:r w:rsidRPr="0014556C">
        <w:rPr>
          <w:rFonts w:asciiTheme="majorHAnsi" w:hAnsiTheme="majorHAnsi" w:cstheme="majorHAnsi"/>
        </w:rPr>
        <w:t>. U</w:t>
      </w:r>
      <w:r w:rsidR="00D85E42" w:rsidRPr="0014556C">
        <w:rPr>
          <w:rFonts w:asciiTheme="majorHAnsi" w:hAnsiTheme="majorHAnsi" w:cstheme="majorHAnsi"/>
        </w:rPr>
        <w:t xml:space="preserve">sing CRISPR screens to identify </w:t>
      </w:r>
      <w:r w:rsidR="00D85E42" w:rsidRPr="0014556C">
        <w:rPr>
          <w:rFonts w:asciiTheme="majorHAnsi" w:hAnsiTheme="majorHAnsi" w:cstheme="majorHAnsi"/>
        </w:rPr>
        <w:t xml:space="preserve">new genome </w:t>
      </w:r>
      <w:r w:rsidR="00D85E42" w:rsidRPr="0014556C">
        <w:rPr>
          <w:rFonts w:asciiTheme="majorHAnsi" w:hAnsiTheme="majorHAnsi" w:cstheme="majorHAnsi"/>
        </w:rPr>
        <w:t xml:space="preserve">editing targets shows considerable promise for diseases that are putting significant pressure on farmed animal breeding in Europe e.g. African Swine Fever </w:t>
      </w:r>
      <w:r w:rsidR="00D85E42" w:rsidRPr="0014556C">
        <w:rPr>
          <w:rFonts w:asciiTheme="majorHAnsi" w:hAnsiTheme="majorHAnsi" w:cstheme="majorHAnsi"/>
        </w:rPr>
        <w:fldChar w:fldCharType="begin" w:fldLock="1"/>
      </w:r>
      <w:r w:rsidR="0014556C" w:rsidRPr="0014556C">
        <w:rPr>
          <w:rFonts w:asciiTheme="majorHAnsi" w:hAnsiTheme="majorHAnsi" w:cstheme="majorHAnsi"/>
        </w:rPr>
        <w:instrText xml:space="preserve"> ADDIN ZOTERO_ITEM CSL_CITATION {"citationID":"XS9omT19","properties":{"formattedCitation":"(7)","plainCitation":"(7)","noteIndex":0},"citationItems":[{"id":"YEZZUd3L/gh5kBfvd","uris":["http://www.mendeley.com/documents/?uuid=1a9aefde-cbd7-42e9-8459-9f7f97e752c7"],"itemData":{"DOI":"10.1038/s41598-023-36788-9","ISSN":"2045-2322","abstract":"African swine fever virus (ASFV) is a lethal animal pathogen that enters its host cells through endocytosis. So far, host factors specifically required for ASFV replication have been barely identified. In this study a genome-wide CRISPR/Cas9 knockout screen in porcine cells indicated that the genes RFXANK, RFXAP, SLA-DMA, SLA-DMB, and CIITA are important for productive ASFV infection. The proteins encoded by these genes belong to the major histocompatibility complex II (MHC II), or swine leucocyte antigen complex II (SLA II). RFXAP and CIITA are MHC II-specific transcription factors, whereas SLA-DMA/B are subunits of the non-classical MHC II molecule SLA-DM. Targeted knockout of either of these genes led to severe replication defects of different ASFV isolates, reflected by substantially reduced plating efficiency, cell-to-cell spread, progeny virus titers and viral DNA replication. Transgene-based reconstitution of SLA-DMA/B fully restored the replication capacity demonstrating that SLA-DM, which resides in late endosomes, plays a crucial role during early steps of ASFV infection.","author":[{"dropping-particle":"","family":"Pannhorst","given":"Katrin","non-dropping-particle":"","parse-names":false,"suffix":""},{"dropping-particle":"","family":"Carlson","given":"Jolene","non-dropping-particle":"","parse-names":false,"suffix":""},{"dropping-particle":"","family":"Hölper","given":"Julia E","non-dropping-particle":"","parse-names":false,"suffix":""},{"dropping-particle":"","family":"Grey","given":"Finn","non-dropping-particle":"","parse-names":false,"suffix":""},{"dropping-particle":"","family":"Baillie","given":"John Kenneth","non-dropping-particle":"","parse-names":false,"suffix":""},{"dropping-particle":"","family":"Höper","given":"Dirk","non-dropping-particle":"","parse-names":false,"suffix":""},{"dropping-particle":"","family":"Wöhnke","given":"Elisabeth","non-dropping-particle":"","parse-names":false,"suffix":""},{"dropping-particle":"","family":"Franzke","given":"Kati","non-dropping-particle":"","parse-names":false,"suffix":""},{"dropping-particle":"","family":"Karger","given":"Axel","non-dropping-particle":"","parse-names":false,"suffix":""},{"dropping-particle":"","family":"Fuchs","given":"Walter","non-dropping-particle":"","parse-names":false,"suffix":""},{"dropping-particle":"","family":"Mettenleiter","given":"Thomas C","non-dropping-particle":"","parse-names":false,"suffix":""}],"container-title":"Scientific Reports","id":"ITEM-1","issue":"1","issued":{"date-parts":[["2023"]]},"page":"10342","title":"The non-classical major histocompatibility complex II protein SLA-DM is crucial for African swine fever virus replication","type":"article-journal","volume":"13"}}],"schema":"https://github.com/citation-style-language/schema/raw/master/csl-citation.json"} </w:instrText>
      </w:r>
      <w:r w:rsidR="00D85E42" w:rsidRPr="0014556C">
        <w:rPr>
          <w:rFonts w:asciiTheme="majorHAnsi" w:hAnsiTheme="majorHAnsi" w:cstheme="majorHAnsi"/>
        </w:rPr>
        <w:fldChar w:fldCharType="separate"/>
      </w:r>
      <w:r w:rsidR="0014556C" w:rsidRPr="0014556C">
        <w:rPr>
          <w:rFonts w:asciiTheme="majorHAnsi" w:hAnsiTheme="majorHAnsi" w:cstheme="majorHAnsi"/>
          <w:noProof/>
        </w:rPr>
        <w:t>(7)</w:t>
      </w:r>
      <w:r w:rsidR="00D85E42" w:rsidRPr="0014556C">
        <w:rPr>
          <w:rFonts w:asciiTheme="majorHAnsi" w:hAnsiTheme="majorHAnsi" w:cstheme="majorHAnsi"/>
        </w:rPr>
        <w:fldChar w:fldCharType="end"/>
      </w:r>
      <w:r w:rsidR="00D85E42" w:rsidRPr="0014556C">
        <w:rPr>
          <w:rFonts w:asciiTheme="majorHAnsi" w:hAnsiTheme="majorHAnsi" w:cstheme="majorHAnsi"/>
        </w:rPr>
        <w:t xml:space="preserve">. </w:t>
      </w:r>
    </w:p>
    <w:p w14:paraId="0F7DDAD9" w14:textId="77777777" w:rsidR="00463CDC" w:rsidRPr="0014556C" w:rsidRDefault="00463CDC" w:rsidP="00D85E42">
      <w:pPr>
        <w:jc w:val="both"/>
        <w:rPr>
          <w:rFonts w:asciiTheme="majorHAnsi" w:hAnsiTheme="majorHAnsi" w:cstheme="majorHAnsi"/>
        </w:rPr>
      </w:pPr>
    </w:p>
    <w:p w14:paraId="4CB62880" w14:textId="565E6156" w:rsidR="00D85E42" w:rsidRPr="0014556C" w:rsidRDefault="00463CDC" w:rsidP="00D85E42">
      <w:pPr>
        <w:jc w:val="both"/>
        <w:rPr>
          <w:rFonts w:asciiTheme="majorHAnsi" w:hAnsiTheme="majorHAnsi" w:cstheme="majorHAnsi"/>
        </w:rPr>
      </w:pPr>
      <w:r w:rsidRPr="0014556C">
        <w:rPr>
          <w:rFonts w:asciiTheme="majorHAnsi" w:hAnsiTheme="majorHAnsi" w:cstheme="majorHAnsi"/>
        </w:rPr>
        <w:t xml:space="preserve">A </w:t>
      </w:r>
      <w:r w:rsidR="00D85E42" w:rsidRPr="0014556C">
        <w:rPr>
          <w:rFonts w:asciiTheme="majorHAnsi" w:hAnsiTheme="majorHAnsi" w:cstheme="majorHAnsi"/>
        </w:rPr>
        <w:t xml:space="preserve">lack of suitable cell lines and organoid systems has hindered progress, but this is rapidly changing, particularly with </w:t>
      </w:r>
      <w:r w:rsidRPr="0014556C">
        <w:rPr>
          <w:rFonts w:asciiTheme="majorHAnsi" w:hAnsiTheme="majorHAnsi" w:cstheme="majorHAnsi"/>
        </w:rPr>
        <w:t xml:space="preserve">the </w:t>
      </w:r>
      <w:r w:rsidR="00D85E42" w:rsidRPr="0014556C">
        <w:rPr>
          <w:rFonts w:asciiTheme="majorHAnsi" w:hAnsiTheme="majorHAnsi" w:cstheme="majorHAnsi"/>
        </w:rPr>
        <w:t xml:space="preserve">generation of Cas9 expressing chickens and pigs </w:t>
      </w:r>
      <w:r w:rsidR="00D85E42"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{"citationID":"QhEQ1XXr","properties":{"formattedCitation":"(13)","plainCitation":"(13)","noteIndex":0},"citationItems":[{"id":1483,"uris":["http://zotero.org/users/13766804/items/NBR27RSX"],"itemData":{"id":1483,"type":"article-journal","abstract":"Genetically modified animals continue to provide important insights into the molecular basis of health and disease. Research has focused mostly on genetically  modified mice, although other species like pigs resemble the human physiology  more closely. In addition, cross-species comparisons with phylogenetically  distant species such as chickens provide powerful insights into fundamental  biological and biomedical processes. One of the most versatile genetic methods  applicable across species is CRISPR-Cas9. Here, we report the generation of  transgenic chickens and pigs that constitutively express Cas9 in all organs.  These animals are healthy and fertile. Functionality of Cas9 was confirmed in  both species for a number of different target genes, for a variety of cell types  and in vivo by targeted gene disruption in lymphocytes and the developing brain,  and by precise excision of a 12.7-kb DNA fragment in the heart. The Cas9  transgenic animals will provide a powerful resource for in vivo genome editing  for both agricultural and translational biomedical research, and will facilitate  reverse genetics as well as cross-species comparisons.","container-title":"Proceedings of the National Academy of Sciences of the United States of America","DOI":"10.1073/pnas.2022562118","ISSN":"1091-6490 0027-8424","issue":"10","journalAbbreviation":"Proc Natl Acad Sci U S A","language":"eng","license":"Copyright © 2021 the Author(s). Published by PNAS.","note":"publisher-place: United States\nPMID: 33658378 \nPMCID: PMC7958376","title":"Cas9-expressing chickens and pigs as resources for genome editing in livestock.","volume":"118","author":[{"family":"Rieblinger","given":"Beate"},{"family":"Sid","given":"Hicham"},{"family":"Duda","given":"Denise"},{"family":"Bozoglu","given":"Tarik"},{"family":"Klinger","given":"Romina"},{"family":"Schlickenrieder","given":"Antonina"},{"family":"Lengyel","given":"Kamila"},{"family":"Flisikowski","given":"Krzysztof"},{"family":"Flisikowska","given":"Tatiana"},{"family":"Simm","given":"Nina"},{"family":"Grodziecki","given":"Alessandro"},{"family":"Perleberg","given":"Carolin"},{"family":"Bähr","given":"Andrea"},{"family":"Carrier","given":"Lucie"},{"family":"Kurome","given":"Mayuko"},{"family":"Zakhartchenko","given":"Valeri"},{"family":"Kessler","given":"Barbara"},{"family":"Wolf","given":"Eckhard"},{"family":"Kettler","given":"Lutz"},{"family":"Luksch","given":"Harald"},{"family":"Hagag","given":"Ibrahim T."},{"family":"Wise","given":"Daniel"},{"family":"Kaufman","given":"Jim"},{"family":"Kaufer","given":"Benedikt B."},{"family":"Kupatt","given":"Christian"},{"family":"Schnieke","given":"Angelika"},{"family":"Schusser","given":"Benjamin"}],"issued":{"date-parts":[["2021",3,9]]}}}],"schema":"https://github.com/citation-style-language/schema/raw/master/csl-citation.json"} </w:instrText>
      </w:r>
      <w:r w:rsidR="00D85E42" w:rsidRPr="0014556C">
        <w:rPr>
          <w:rFonts w:asciiTheme="majorHAnsi" w:hAnsiTheme="majorHAnsi" w:cstheme="majorHAnsi"/>
        </w:rPr>
        <w:fldChar w:fldCharType="separate"/>
      </w:r>
      <w:r w:rsidR="0014556C" w:rsidRPr="0014556C">
        <w:rPr>
          <w:rFonts w:asciiTheme="majorHAnsi" w:hAnsiTheme="majorHAnsi" w:cstheme="majorHAnsi"/>
          <w:noProof/>
        </w:rPr>
        <w:t>(13)</w:t>
      </w:r>
      <w:r w:rsidR="00D85E42" w:rsidRPr="0014556C">
        <w:rPr>
          <w:rFonts w:asciiTheme="majorHAnsi" w:hAnsiTheme="majorHAnsi" w:cstheme="majorHAnsi"/>
        </w:rPr>
        <w:fldChar w:fldCharType="end"/>
      </w:r>
      <w:r w:rsidR="00D85E42" w:rsidRPr="0014556C">
        <w:rPr>
          <w:rFonts w:asciiTheme="majorHAnsi" w:hAnsiTheme="majorHAnsi" w:cstheme="majorHAnsi"/>
        </w:rPr>
        <w:t xml:space="preserve">. Work package 4 of the </w:t>
      </w:r>
      <w:proofErr w:type="spellStart"/>
      <w:r w:rsidR="00D85E42" w:rsidRPr="0014556C">
        <w:rPr>
          <w:rFonts w:asciiTheme="majorHAnsi" w:hAnsiTheme="majorHAnsi" w:cstheme="majorHAnsi"/>
        </w:rPr>
        <w:t>EuroFAANG</w:t>
      </w:r>
      <w:proofErr w:type="spellEnd"/>
      <w:r w:rsidR="00D85E42" w:rsidRPr="0014556C">
        <w:rPr>
          <w:rFonts w:asciiTheme="majorHAnsi" w:hAnsiTheme="majorHAnsi" w:cstheme="majorHAnsi"/>
        </w:rPr>
        <w:t xml:space="preserve"> RI project will address this and look at ways to build capacity and TNA to appropriate cellular models for CRISPR screens. </w:t>
      </w:r>
    </w:p>
    <w:p w14:paraId="47D76217" w14:textId="7166FB57" w:rsidR="00D85E42" w:rsidRPr="0014556C" w:rsidRDefault="003D7173" w:rsidP="007A511B">
      <w:pPr>
        <w:jc w:val="both"/>
        <w:rPr>
          <w:rFonts w:asciiTheme="majorHAnsi" w:hAnsiTheme="majorHAnsi" w:cstheme="majorHAnsi"/>
          <w:iCs/>
        </w:rPr>
      </w:pPr>
      <w:r w:rsidRPr="0014556C">
        <w:rPr>
          <w:rFonts w:asciiTheme="majorHAnsi" w:hAnsiTheme="majorHAnsi" w:cstheme="majorHAnsi"/>
          <w:iCs/>
        </w:rPr>
        <w:t xml:space="preserve"> </w:t>
      </w:r>
    </w:p>
    <w:p w14:paraId="588C7F43" w14:textId="729634AF" w:rsidR="003D7173" w:rsidRPr="0014556C" w:rsidRDefault="003D7173" w:rsidP="007A511B">
      <w:pPr>
        <w:jc w:val="both"/>
        <w:rPr>
          <w:rFonts w:asciiTheme="majorHAnsi" w:hAnsiTheme="majorHAnsi" w:cstheme="majorHAnsi"/>
        </w:rPr>
      </w:pPr>
      <w:r w:rsidRPr="0014556C">
        <w:rPr>
          <w:rFonts w:asciiTheme="majorHAnsi" w:hAnsiTheme="majorHAnsi" w:cstheme="majorHAnsi"/>
        </w:rPr>
        <w:t xml:space="preserve">As more sgRNA libraries become available across farmed animal species e.g. </w:t>
      </w:r>
      <w:r w:rsidRPr="0014556C">
        <w:rPr>
          <w:rFonts w:asciiTheme="majorHAnsi" w:hAnsiTheme="majorHAnsi" w:cstheme="majorHAnsi"/>
        </w:rPr>
        <w:fldChar w:fldCharType="begin"/>
      </w:r>
      <w:r w:rsidR="0014556C" w:rsidRPr="0014556C">
        <w:rPr>
          <w:rFonts w:asciiTheme="majorHAnsi" w:hAnsiTheme="majorHAnsi" w:cstheme="majorHAnsi"/>
        </w:rPr>
        <w:instrText xml:space="preserve"> ADDIN ZOTERO_ITEM CSL_CITATION {"citationID":"183ODbz5","properties":{"formattedCitation":"(11,17)","plainCitation":"(11,17)","noteIndex":0},"citationItems":[{"id":1481,"uris":["http://zotero.org/users/13766804/items/FEFHRYEZ"],"itemData":{"id":1481,"type":"article-journal","abstract":"BACKGROUND: As an important farm animal, pig functional genomic study can help understand the molecular mechanism related to the key economic traits of pig,  such as growth, reproduction, or disease. The genome-scale library based on  clustered regularly interspaced short palindromic repeat  (CRISPR)/CRISPR-associated endonuclease Cas9 (Cas9) system facilitates discovery  of key genes involved in a specific function or phenotype, allowing for an  effective \"phenotype-to-genotype\" strategy for functional genomic study. METHODS  AND RESULTS: We designed and constructed a pig genome-scale CRISPR/Cas9 knockout  library targeting 16,888 genes with 970,001 unique sgRNAs. The library is a  single-vector system including both Cas9 and sgRNA, and packaged into lentivirus  for an easy cell delivery for screening. To establish a screening method in pig  cells, we used diphtheria toxin (DT)-induced cell death as a model to screen the  host genes critical for DT toxicity in pig PK-15 cells. After lentiviral  transduction and two sequential screening with DT treatment, the highest-ranking  candidates we identified were previously validated genes, HBEGF, DPH1, DPH2,  DPH3, DPH5, DNAJC24, and ZBTB17, which are DT receptor and the key factors  involved in biosynthesis of diphthamide, the target of DT action. The function  and gene essentiality of candidates were further confirmed by gene knockout and  DT toxicity assay in PK-15 cells. CONCLUSIONS: Our CRISPR knockout library  targeting pig whole genome establishes a promising platform for pig functional  genomic analysis.","container-title":"Biotechnology journal","DOI":"10.1002/biot.202100408","ISSN":"1860-7314 1860-6768","issue":"7","journalAbbreviation":"Biotechnol J","language":"eng","license":"© 2021 Wiley-VCH GmbH.","note":"publisher-place: Germany\nPMID: 34705337","page":"e2100408","title":"Establishment of a pig CRISPR/Cas9 knockout library for functional gene screening in pig cells.","volume":"17","author":[{"family":"Yu","given":"Chuanzhao"},{"family":"Zhong","given":"Haiwen"},{"family":"Yang","given":"Xiaohui"},{"family":"Li","given":"Guoling"},{"family":"Wu","given":"Zhenfang"},{"family":"Yang","given":"Huaqiang"}],"issued":{"date-parts":[["2022",7]]}}},{"id":1488,"uris":["http://zotero.org/users/13766804/items/F6USR34A"],"itemData":{"id":1488,"type":"article-journal","abstract":"Diseases caused by emerging swine viruses had a great economic impact, constituting a new challenge for researchers and practicing veterinarians. Innate immune control of viral pathogen invasion is mediated by interferons (IFNs), resulting in transcriptional elevation of hundreds of IFN-stimulated genes (ISGs). However, the ISG family is vast and species-specific, and despite remarkable advancements in uncovering the breadth of IFN-induced gene expression in mouse and human, it is less characterized with respect to the repertoire of porcine ISGs and their functional annotation. Herein, with the application of RNA-sequencing (RNA-Seq) gene profiling, the breadth of IFN-induced gene expression in the context of type I IFN stimulation was explored by using IBRS-2 cell, a commonly used high-efficient cultivation system for porcine picornaviruses. By establishing inclusion criteria, a total of 359 ISGs were selected. Aiming to identify key effectors mediating type I IFN inhibition of swine viruses, a CRISPR/Cas9 knockout library of 1908 sgRNAs targeting 5’ constitutive exons of 359 ISGs with an average of 5 to 6 sgRNAs per gene was constructed. Using VSV-eGFP (vesicular stomatitis virus, fused with GFP) as a model virus, a subset of highest-ranking candidates were identified, including previously validated anti-VSV genes IRF9, IFITM3, LOC100519082 and REC8, as well as several novel hits. This approach attains a high level of feasibility and reliability, and a high rate of hit identification, providing a forward-looking platform to systematically profile the effectors of type I IFN antiviral response against porcine viruses.","container-title":"Frontiers in Immunology","ISSN":"1664-3224","journalAbbreviation":"Frontiers in Immunology","title":"Establishment of a CRISPR/Cas9 knockout library for screening type I interferon-inducible antiviral effectors in pig cells","URL":"https://www.frontiersin.org/journals/immunology/articles/10.3389/fimmu.2022.1016545","volume":"13","author":[{"family":"Dang","given":"Wen"},{"family":"Li","given":"Tao"},{"family":"Xu","given":"Fan"},{"family":"Wang","given":"Yannan"},{"family":"Yang","given":"Fan"},{"family":"Zheng","given":"Haixue"}],"issued":{"date-parts":[["2022"]]}}}],"schema":"https://github.com/citation-style-language/schema/raw/master/csl-citation.json"} </w:instrText>
      </w:r>
      <w:r w:rsidRPr="0014556C">
        <w:rPr>
          <w:rFonts w:asciiTheme="majorHAnsi" w:hAnsiTheme="majorHAnsi" w:cstheme="majorHAnsi"/>
        </w:rPr>
        <w:fldChar w:fldCharType="separate"/>
      </w:r>
      <w:r w:rsidR="0014556C" w:rsidRPr="0014556C">
        <w:rPr>
          <w:rFonts w:asciiTheme="majorHAnsi" w:hAnsiTheme="majorHAnsi" w:cstheme="majorHAnsi"/>
          <w:noProof/>
        </w:rPr>
        <w:t>(11,17)</w:t>
      </w:r>
      <w:r w:rsidRPr="0014556C">
        <w:rPr>
          <w:rFonts w:asciiTheme="majorHAnsi" w:hAnsiTheme="majorHAnsi" w:cstheme="majorHAnsi"/>
        </w:rPr>
        <w:fldChar w:fldCharType="end"/>
      </w:r>
      <w:r w:rsidR="00D85E42" w:rsidRPr="0014556C">
        <w:rPr>
          <w:rFonts w:asciiTheme="majorHAnsi" w:hAnsiTheme="majorHAnsi" w:cstheme="majorHAnsi"/>
        </w:rPr>
        <w:t xml:space="preserve"> providing catalogues of these libraries on the FAANG data portal will be an important resource for the community and UEDIN will explore how this can be achieved with EMBL-EBI</w:t>
      </w:r>
      <w:r w:rsidR="00463CDC" w:rsidRPr="0014556C">
        <w:rPr>
          <w:rFonts w:asciiTheme="majorHAnsi" w:hAnsiTheme="majorHAnsi" w:cstheme="majorHAnsi"/>
        </w:rPr>
        <w:t xml:space="preserve"> (WP3)</w:t>
      </w:r>
      <w:r w:rsidR="00D85E42" w:rsidRPr="0014556C">
        <w:rPr>
          <w:rFonts w:asciiTheme="majorHAnsi" w:hAnsiTheme="majorHAnsi" w:cstheme="majorHAnsi"/>
        </w:rPr>
        <w:t xml:space="preserve">. </w:t>
      </w:r>
    </w:p>
    <w:p w14:paraId="6F49FAB6" w14:textId="77777777" w:rsidR="00D85E42" w:rsidRPr="0014556C" w:rsidRDefault="00D85E42" w:rsidP="007A511B">
      <w:pPr>
        <w:jc w:val="both"/>
        <w:rPr>
          <w:rFonts w:asciiTheme="majorHAnsi" w:hAnsiTheme="majorHAnsi" w:cstheme="majorHAnsi"/>
        </w:rPr>
      </w:pPr>
    </w:p>
    <w:p w14:paraId="29235B49" w14:textId="19242B4B" w:rsidR="00D85E42" w:rsidRPr="0014556C" w:rsidRDefault="00D85E42" w:rsidP="00D85E42">
      <w:pPr>
        <w:jc w:val="both"/>
        <w:rPr>
          <w:rFonts w:asciiTheme="majorHAnsi" w:hAnsiTheme="majorHAnsi" w:cstheme="majorHAnsi"/>
          <w:iCs/>
        </w:rPr>
      </w:pPr>
      <w:r w:rsidRPr="0014556C">
        <w:rPr>
          <w:rFonts w:asciiTheme="majorHAnsi" w:hAnsiTheme="majorHAnsi" w:cstheme="majorHAnsi"/>
          <w:iCs/>
        </w:rPr>
        <w:t>Building additional scale and capacity for CRISPR screens</w:t>
      </w:r>
      <w:r w:rsidR="00463CDC" w:rsidRPr="0014556C">
        <w:rPr>
          <w:rFonts w:asciiTheme="majorHAnsi" w:hAnsiTheme="majorHAnsi" w:cstheme="majorHAnsi"/>
          <w:iCs/>
        </w:rPr>
        <w:t xml:space="preserve"> using high-through</w:t>
      </w:r>
      <w:r w:rsidR="005E5951" w:rsidRPr="0014556C">
        <w:rPr>
          <w:rFonts w:asciiTheme="majorHAnsi" w:hAnsiTheme="majorHAnsi" w:cstheme="majorHAnsi"/>
          <w:iCs/>
        </w:rPr>
        <w:t>p</w:t>
      </w:r>
      <w:r w:rsidR="00463CDC" w:rsidRPr="0014556C">
        <w:rPr>
          <w:rFonts w:asciiTheme="majorHAnsi" w:hAnsiTheme="majorHAnsi" w:cstheme="majorHAnsi"/>
          <w:iCs/>
        </w:rPr>
        <w:t>ut cellular phenotyping platforms</w:t>
      </w:r>
      <w:r w:rsidRPr="0014556C">
        <w:rPr>
          <w:rFonts w:asciiTheme="majorHAnsi" w:hAnsiTheme="majorHAnsi" w:cstheme="majorHAnsi"/>
          <w:iCs/>
        </w:rPr>
        <w:t xml:space="preserve"> will provide unprec</w:t>
      </w:r>
      <w:r w:rsidR="00463CDC" w:rsidRPr="0014556C">
        <w:rPr>
          <w:rFonts w:asciiTheme="majorHAnsi" w:hAnsiTheme="majorHAnsi" w:cstheme="majorHAnsi"/>
          <w:iCs/>
        </w:rPr>
        <w:t>ed</w:t>
      </w:r>
      <w:r w:rsidRPr="0014556C">
        <w:rPr>
          <w:rFonts w:asciiTheme="majorHAnsi" w:hAnsiTheme="majorHAnsi" w:cstheme="majorHAnsi"/>
          <w:iCs/>
        </w:rPr>
        <w:t>ented power for G2P research in farmed animals</w:t>
      </w:r>
      <w:r w:rsidR="0014556C" w:rsidRPr="0014556C">
        <w:rPr>
          <w:rFonts w:asciiTheme="majorHAnsi" w:hAnsiTheme="majorHAnsi" w:cstheme="majorHAnsi"/>
          <w:iCs/>
        </w:rPr>
        <w:t>, going beyond the state of the art</w:t>
      </w:r>
      <w:r w:rsidRPr="0014556C">
        <w:rPr>
          <w:rFonts w:asciiTheme="majorHAnsi" w:hAnsiTheme="majorHAnsi" w:cstheme="majorHAnsi"/>
          <w:iCs/>
        </w:rPr>
        <w:t xml:space="preserve">. </w:t>
      </w:r>
      <w:r w:rsidRPr="0014556C">
        <w:rPr>
          <w:rFonts w:asciiTheme="majorHAnsi" w:hAnsiTheme="majorHAnsi" w:cstheme="majorHAnsi"/>
          <w:iCs/>
        </w:rPr>
        <w:t>Through target</w:t>
      </w:r>
      <w:r w:rsidR="0014556C" w:rsidRPr="0014556C">
        <w:rPr>
          <w:rFonts w:asciiTheme="majorHAnsi" w:hAnsiTheme="majorHAnsi" w:cstheme="majorHAnsi"/>
          <w:iCs/>
        </w:rPr>
        <w:t>ed</w:t>
      </w:r>
      <w:r w:rsidRPr="0014556C">
        <w:rPr>
          <w:rFonts w:asciiTheme="majorHAnsi" w:hAnsiTheme="majorHAnsi" w:cstheme="majorHAnsi"/>
          <w:iCs/>
        </w:rPr>
        <w:t xml:space="preserve"> searching </w:t>
      </w:r>
      <w:r w:rsidR="0014556C" w:rsidRPr="0014556C">
        <w:rPr>
          <w:rFonts w:asciiTheme="majorHAnsi" w:hAnsiTheme="majorHAnsi" w:cstheme="majorHAnsi"/>
          <w:iCs/>
        </w:rPr>
        <w:t xml:space="preserve">and </w:t>
      </w:r>
      <w:proofErr w:type="spellStart"/>
      <w:r w:rsidR="0014556C" w:rsidRPr="0014556C">
        <w:rPr>
          <w:rFonts w:asciiTheme="majorHAnsi" w:hAnsiTheme="majorHAnsi" w:cstheme="majorHAnsi"/>
          <w:iCs/>
        </w:rPr>
        <w:t>EuroFAANG</w:t>
      </w:r>
      <w:proofErr w:type="spellEnd"/>
      <w:r w:rsidR="0014556C" w:rsidRPr="0014556C">
        <w:rPr>
          <w:rFonts w:asciiTheme="majorHAnsi" w:hAnsiTheme="majorHAnsi" w:cstheme="majorHAnsi"/>
          <w:iCs/>
        </w:rPr>
        <w:t xml:space="preserve"> networks </w:t>
      </w:r>
      <w:r w:rsidRPr="0014556C">
        <w:rPr>
          <w:rFonts w:asciiTheme="majorHAnsi" w:hAnsiTheme="majorHAnsi" w:cstheme="majorHAnsi"/>
          <w:iCs/>
        </w:rPr>
        <w:t xml:space="preserve">we identified several facilities in Europe with capacity to perform high-throughput cellular phenotyping platforms though all were currently focused on the human research space. </w:t>
      </w:r>
      <w:r w:rsidRPr="0014556C">
        <w:rPr>
          <w:rFonts w:asciiTheme="majorHAnsi" w:hAnsiTheme="majorHAnsi" w:cstheme="majorHAnsi"/>
          <w:iCs/>
        </w:rPr>
        <w:t>Over the next 18 months we will open a dialogue with these facilities to build capacity for farmed animals and with update this deliverable with the outcomes.</w:t>
      </w:r>
    </w:p>
    <w:p w14:paraId="74A9976E" w14:textId="77777777" w:rsidR="00D85E42" w:rsidRPr="0014556C" w:rsidRDefault="00D85E42" w:rsidP="007A511B">
      <w:pPr>
        <w:jc w:val="both"/>
        <w:rPr>
          <w:rFonts w:asciiTheme="majorHAnsi" w:hAnsiTheme="majorHAnsi" w:cstheme="majorHAnsi"/>
        </w:rPr>
      </w:pPr>
    </w:p>
    <w:p w14:paraId="61F68CE6" w14:textId="77777777" w:rsidR="003D7173" w:rsidRPr="0014556C" w:rsidRDefault="003D7173" w:rsidP="007A511B">
      <w:pPr>
        <w:jc w:val="both"/>
        <w:rPr>
          <w:rFonts w:asciiTheme="majorHAnsi" w:hAnsiTheme="majorHAnsi" w:cstheme="majorHAnsi"/>
        </w:rPr>
      </w:pPr>
    </w:p>
    <w:p w14:paraId="00EA1AF7" w14:textId="15FECE0D" w:rsidR="00966E4E" w:rsidRPr="0014556C" w:rsidRDefault="00966E4E">
      <w:pPr>
        <w:rPr>
          <w:rFonts w:asciiTheme="majorHAnsi" w:hAnsiTheme="majorHAnsi" w:cstheme="majorHAnsi"/>
        </w:rPr>
      </w:pPr>
      <w:r w:rsidRPr="0014556C">
        <w:rPr>
          <w:rFonts w:asciiTheme="majorHAnsi" w:hAnsiTheme="majorHAnsi" w:cstheme="majorHAnsi"/>
        </w:rPr>
        <w:br w:type="page"/>
      </w:r>
    </w:p>
    <w:p w14:paraId="0476921A" w14:textId="5EF2A167" w:rsidR="004C535E" w:rsidRPr="0014556C" w:rsidRDefault="000D2DB1" w:rsidP="00ED3CE6">
      <w:pPr>
        <w:pStyle w:val="Heading1"/>
        <w:ind w:left="357" w:hanging="357"/>
        <w:rPr>
          <w:rFonts w:asciiTheme="majorHAnsi" w:hAnsiTheme="majorHAnsi" w:cstheme="majorHAnsi"/>
        </w:rPr>
      </w:pPr>
      <w:bookmarkStart w:id="22" w:name="_Toc170418882"/>
      <w:r w:rsidRPr="0014556C">
        <w:rPr>
          <w:rFonts w:asciiTheme="majorHAnsi" w:hAnsiTheme="majorHAnsi" w:cstheme="majorHAnsi"/>
        </w:rPr>
        <w:lastRenderedPageBreak/>
        <w:t>References</w:t>
      </w:r>
      <w:bookmarkEnd w:id="22"/>
    </w:p>
    <w:p w14:paraId="18F1D10A" w14:textId="77777777" w:rsidR="0014556C" w:rsidRPr="0014556C" w:rsidRDefault="00122463" w:rsidP="0014556C">
      <w:pPr>
        <w:pStyle w:val="Bibliography"/>
        <w:rPr>
          <w:rFonts w:ascii="Calibri" w:hAnsiTheme="majorHAnsi" w:cs="Calibri"/>
        </w:rPr>
      </w:pPr>
      <w:r w:rsidRPr="0014556C">
        <w:rPr>
          <w:rFonts w:asciiTheme="majorHAnsi" w:eastAsia="Century Gothic" w:hAnsiTheme="majorHAnsi" w:cstheme="majorHAnsi"/>
          <w:color w:val="000000" w:themeColor="text1"/>
        </w:rPr>
        <w:fldChar w:fldCharType="begin" w:fldLock="1"/>
      </w:r>
      <w:r w:rsidRPr="0014556C">
        <w:rPr>
          <w:rFonts w:asciiTheme="majorHAnsi" w:eastAsia="Century Gothic" w:hAnsiTheme="majorHAnsi" w:cstheme="majorHAnsi"/>
          <w:color w:val="000000" w:themeColor="text1"/>
        </w:rPr>
        <w:instrText xml:space="preserve">ADDIN Mendeley Bibliography CSL_BIBLIOGRAPHY </w:instrText>
      </w:r>
      <w:r w:rsidRPr="0014556C">
        <w:rPr>
          <w:rFonts w:asciiTheme="majorHAnsi" w:eastAsia="Century Gothic" w:hAnsiTheme="majorHAnsi" w:cstheme="majorHAnsi"/>
          <w:color w:val="000000" w:themeColor="text1"/>
        </w:rPr>
        <w:fldChar w:fldCharType="separate"/>
      </w:r>
      <w:r w:rsidR="0014556C" w:rsidRPr="0014556C">
        <w:rPr>
          <w:rFonts w:ascii="Calibri" w:hAnsiTheme="majorHAnsi" w:cs="Calibri"/>
        </w:rPr>
        <w:t>1.</w:t>
      </w:r>
      <w:r w:rsidR="0014556C" w:rsidRPr="0014556C">
        <w:rPr>
          <w:rFonts w:ascii="Calibri" w:hAnsiTheme="majorHAnsi" w:cs="Calibri"/>
        </w:rPr>
        <w:tab/>
        <w:t xml:space="preserve">Clark EL, Archibald AL, </w:t>
      </w:r>
      <w:proofErr w:type="spellStart"/>
      <w:r w:rsidR="0014556C" w:rsidRPr="0014556C">
        <w:rPr>
          <w:rFonts w:ascii="Calibri" w:hAnsiTheme="majorHAnsi" w:cs="Calibri"/>
        </w:rPr>
        <w:t>Daetwyler</w:t>
      </w:r>
      <w:proofErr w:type="spellEnd"/>
      <w:r w:rsidR="0014556C" w:rsidRPr="0014556C">
        <w:rPr>
          <w:rFonts w:ascii="Calibri" w:hAnsiTheme="majorHAnsi" w:cs="Calibri"/>
        </w:rPr>
        <w:t xml:space="preserve"> HD, </w:t>
      </w:r>
      <w:proofErr w:type="spellStart"/>
      <w:r w:rsidR="0014556C" w:rsidRPr="0014556C">
        <w:rPr>
          <w:rFonts w:ascii="Calibri" w:hAnsiTheme="majorHAnsi" w:cs="Calibri"/>
        </w:rPr>
        <w:t>Groenen</w:t>
      </w:r>
      <w:proofErr w:type="spellEnd"/>
      <w:r w:rsidR="0014556C" w:rsidRPr="0014556C">
        <w:rPr>
          <w:rFonts w:ascii="Calibri" w:hAnsiTheme="majorHAnsi" w:cs="Calibri"/>
        </w:rPr>
        <w:t xml:space="preserve"> MAM, Harrison PW, Houston RD, et al. From FAANG to </w:t>
      </w:r>
      <w:proofErr w:type="gramStart"/>
      <w:r w:rsidR="0014556C" w:rsidRPr="0014556C">
        <w:rPr>
          <w:rFonts w:ascii="Calibri" w:hAnsiTheme="majorHAnsi" w:cs="Calibri"/>
        </w:rPr>
        <w:t>fork:</w:t>
      </w:r>
      <w:proofErr w:type="gramEnd"/>
      <w:r w:rsidR="0014556C" w:rsidRPr="0014556C">
        <w:rPr>
          <w:rFonts w:ascii="Calibri" w:hAnsiTheme="majorHAnsi" w:cs="Calibri"/>
        </w:rPr>
        <w:t xml:space="preserve"> application of highly annotated genomes to improve farmed animal production. Genome Biol. 2020;21(1):285. </w:t>
      </w:r>
    </w:p>
    <w:p w14:paraId="0FED2A4D" w14:textId="77777777" w:rsidR="0014556C" w:rsidRPr="0014556C" w:rsidRDefault="0014556C" w:rsidP="0014556C">
      <w:pPr>
        <w:pStyle w:val="Bibliography"/>
        <w:rPr>
          <w:rFonts w:ascii="Calibri" w:hAnsiTheme="majorHAnsi" w:cs="Calibri"/>
        </w:rPr>
      </w:pPr>
      <w:r w:rsidRPr="0014556C">
        <w:rPr>
          <w:rFonts w:ascii="Calibri" w:hAnsiTheme="majorHAnsi" w:cs="Calibri"/>
        </w:rPr>
        <w:t>2.</w:t>
      </w:r>
      <w:r w:rsidRPr="0014556C">
        <w:rPr>
          <w:rFonts w:ascii="Calibri" w:hAnsiTheme="majorHAnsi" w:cs="Calibri"/>
        </w:rPr>
        <w:tab/>
        <w:t xml:space="preserve">le Sage C, </w:t>
      </w:r>
      <w:proofErr w:type="spellStart"/>
      <w:r w:rsidRPr="0014556C">
        <w:rPr>
          <w:rFonts w:ascii="Calibri" w:hAnsiTheme="majorHAnsi" w:cs="Calibri"/>
        </w:rPr>
        <w:t>Lawo</w:t>
      </w:r>
      <w:proofErr w:type="spellEnd"/>
      <w:r w:rsidRPr="0014556C">
        <w:rPr>
          <w:rFonts w:ascii="Calibri" w:hAnsiTheme="majorHAnsi" w:cs="Calibri"/>
        </w:rPr>
        <w:t xml:space="preserve"> S, Cross BCS. CRISPR: A Screener’s Guide. SLAS </w:t>
      </w:r>
      <w:proofErr w:type="spellStart"/>
      <w:r w:rsidRPr="0014556C">
        <w:rPr>
          <w:rFonts w:ascii="Calibri" w:hAnsiTheme="majorHAnsi" w:cs="Calibri"/>
        </w:rPr>
        <w:t>Discov</w:t>
      </w:r>
      <w:proofErr w:type="spellEnd"/>
      <w:r w:rsidRPr="0014556C">
        <w:rPr>
          <w:rFonts w:ascii="Calibri" w:hAnsiTheme="majorHAnsi" w:cs="Calibri"/>
        </w:rPr>
        <w:t xml:space="preserve"> Adv Life Sci R D. 2020 Mar;25(3):233–40. </w:t>
      </w:r>
    </w:p>
    <w:p w14:paraId="187C9242" w14:textId="77777777" w:rsidR="0014556C" w:rsidRPr="0014556C" w:rsidRDefault="0014556C" w:rsidP="0014556C">
      <w:pPr>
        <w:pStyle w:val="Bibliography"/>
        <w:rPr>
          <w:rFonts w:ascii="Calibri" w:hAnsiTheme="majorHAnsi" w:cs="Calibri"/>
        </w:rPr>
      </w:pPr>
      <w:r w:rsidRPr="0014556C">
        <w:rPr>
          <w:rFonts w:ascii="Calibri" w:hAnsiTheme="majorHAnsi" w:cs="Calibri"/>
        </w:rPr>
        <w:t>3.</w:t>
      </w:r>
      <w:r w:rsidRPr="0014556C">
        <w:rPr>
          <w:rFonts w:ascii="Calibri" w:hAnsiTheme="majorHAnsi" w:cs="Calibri"/>
        </w:rPr>
        <w:tab/>
        <w:t xml:space="preserve">Bock C, </w:t>
      </w:r>
      <w:proofErr w:type="spellStart"/>
      <w:r w:rsidRPr="0014556C">
        <w:rPr>
          <w:rFonts w:ascii="Calibri" w:hAnsiTheme="majorHAnsi" w:cs="Calibri"/>
        </w:rPr>
        <w:t>Datlinger</w:t>
      </w:r>
      <w:proofErr w:type="spellEnd"/>
      <w:r w:rsidRPr="0014556C">
        <w:rPr>
          <w:rFonts w:ascii="Calibri" w:hAnsiTheme="majorHAnsi" w:cs="Calibri"/>
        </w:rPr>
        <w:t xml:space="preserve"> P, Chardon F, Coelho MA, Dong MB, Lawson KA, et al. High-content CRISPR screening. Nat Rev Methods Primer. 2022;2(1):8. </w:t>
      </w:r>
    </w:p>
    <w:p w14:paraId="7E03AFFC" w14:textId="77777777" w:rsidR="0014556C" w:rsidRPr="0014556C" w:rsidRDefault="0014556C" w:rsidP="0014556C">
      <w:pPr>
        <w:pStyle w:val="Bibliography"/>
        <w:rPr>
          <w:rFonts w:ascii="Calibri" w:hAnsiTheme="majorHAnsi" w:cs="Calibri"/>
        </w:rPr>
      </w:pPr>
      <w:r w:rsidRPr="0014556C">
        <w:rPr>
          <w:rFonts w:ascii="Calibri" w:hAnsiTheme="majorHAnsi" w:cs="Calibri"/>
        </w:rPr>
        <w:t>4.</w:t>
      </w:r>
      <w:r w:rsidRPr="0014556C">
        <w:rPr>
          <w:rFonts w:ascii="Calibri" w:hAnsiTheme="majorHAnsi" w:cs="Calibri"/>
        </w:rPr>
        <w:tab/>
        <w:t xml:space="preserve">Sun L, Zhao C, Fu Z, Fu Y, Su Z, Li Y, et al. Genome-scale CRISPR screen identifies TMEM41B as a multi-function host factor required for coronavirus replication. PLOS </w:t>
      </w:r>
      <w:proofErr w:type="spellStart"/>
      <w:r w:rsidRPr="0014556C">
        <w:rPr>
          <w:rFonts w:ascii="Calibri" w:hAnsiTheme="majorHAnsi" w:cs="Calibri"/>
        </w:rPr>
        <w:t>Pathog</w:t>
      </w:r>
      <w:proofErr w:type="spellEnd"/>
      <w:r w:rsidRPr="0014556C">
        <w:rPr>
          <w:rFonts w:ascii="Calibri" w:hAnsiTheme="majorHAnsi" w:cs="Calibri"/>
        </w:rPr>
        <w:t>. 2021 Dec 6;17(12</w:t>
      </w:r>
      <w:proofErr w:type="gramStart"/>
      <w:r w:rsidRPr="0014556C">
        <w:rPr>
          <w:rFonts w:ascii="Calibri" w:hAnsiTheme="majorHAnsi" w:cs="Calibri"/>
        </w:rPr>
        <w:t>):e</w:t>
      </w:r>
      <w:proofErr w:type="gramEnd"/>
      <w:r w:rsidRPr="0014556C">
        <w:rPr>
          <w:rFonts w:ascii="Calibri" w:hAnsiTheme="majorHAnsi" w:cs="Calibri"/>
        </w:rPr>
        <w:t xml:space="preserve">1010113. </w:t>
      </w:r>
    </w:p>
    <w:p w14:paraId="6E8357B9" w14:textId="77777777" w:rsidR="0014556C" w:rsidRPr="0014556C" w:rsidRDefault="0014556C" w:rsidP="0014556C">
      <w:pPr>
        <w:pStyle w:val="Bibliography"/>
        <w:rPr>
          <w:rFonts w:ascii="Calibri" w:hAnsiTheme="majorHAnsi" w:cs="Calibri"/>
        </w:rPr>
      </w:pPr>
      <w:r w:rsidRPr="0014556C">
        <w:rPr>
          <w:rFonts w:ascii="Calibri" w:hAnsiTheme="majorHAnsi" w:cs="Calibri"/>
        </w:rPr>
        <w:t>5.</w:t>
      </w:r>
      <w:r w:rsidRPr="0014556C">
        <w:rPr>
          <w:rFonts w:ascii="Calibri" w:hAnsiTheme="majorHAnsi" w:cs="Calibri"/>
        </w:rPr>
        <w:tab/>
      </w:r>
      <w:proofErr w:type="spellStart"/>
      <w:r w:rsidRPr="0014556C">
        <w:rPr>
          <w:rFonts w:ascii="Calibri" w:hAnsiTheme="majorHAnsi" w:cs="Calibri"/>
        </w:rPr>
        <w:t>Tse</w:t>
      </w:r>
      <w:proofErr w:type="spellEnd"/>
      <w:r w:rsidRPr="0014556C">
        <w:rPr>
          <w:rFonts w:ascii="Calibri" w:hAnsiTheme="majorHAnsi" w:cs="Calibri"/>
        </w:rPr>
        <w:t xml:space="preserve"> LV, </w:t>
      </w:r>
      <w:proofErr w:type="spellStart"/>
      <w:r w:rsidRPr="0014556C">
        <w:rPr>
          <w:rFonts w:ascii="Calibri" w:hAnsiTheme="majorHAnsi" w:cs="Calibri"/>
        </w:rPr>
        <w:t>Meganck</w:t>
      </w:r>
      <w:proofErr w:type="spellEnd"/>
      <w:r w:rsidRPr="0014556C">
        <w:rPr>
          <w:rFonts w:ascii="Calibri" w:hAnsiTheme="majorHAnsi" w:cs="Calibri"/>
        </w:rPr>
        <w:t xml:space="preserve"> RM, Araba KC, </w:t>
      </w:r>
      <w:proofErr w:type="spellStart"/>
      <w:r w:rsidRPr="0014556C">
        <w:rPr>
          <w:rFonts w:ascii="Calibri" w:hAnsiTheme="majorHAnsi" w:cs="Calibri"/>
        </w:rPr>
        <w:t>Yount</w:t>
      </w:r>
      <w:proofErr w:type="spellEnd"/>
      <w:r w:rsidRPr="0014556C">
        <w:rPr>
          <w:rFonts w:ascii="Calibri" w:hAnsiTheme="majorHAnsi" w:cs="Calibri"/>
        </w:rPr>
        <w:t xml:space="preserve"> BL, Shaffer KM, Hou YJ, et al. </w:t>
      </w:r>
      <w:proofErr w:type="spellStart"/>
      <w:r w:rsidRPr="0014556C">
        <w:rPr>
          <w:rFonts w:ascii="Calibri" w:hAnsiTheme="majorHAnsi" w:cs="Calibri"/>
        </w:rPr>
        <w:t>Genomewide</w:t>
      </w:r>
      <w:proofErr w:type="spellEnd"/>
      <w:r w:rsidRPr="0014556C">
        <w:rPr>
          <w:rFonts w:ascii="Calibri" w:hAnsiTheme="majorHAnsi" w:cs="Calibri"/>
        </w:rPr>
        <w:t xml:space="preserve"> CRISPR knockout screen identified PLAC8 as an essential factor for SADS-</w:t>
      </w:r>
      <w:proofErr w:type="spellStart"/>
      <w:r w:rsidRPr="0014556C">
        <w:rPr>
          <w:rFonts w:ascii="Calibri" w:hAnsiTheme="majorHAnsi" w:cs="Calibri"/>
        </w:rPr>
        <w:t>CoVs</w:t>
      </w:r>
      <w:proofErr w:type="spellEnd"/>
      <w:r w:rsidRPr="0014556C">
        <w:rPr>
          <w:rFonts w:ascii="Calibri" w:hAnsiTheme="majorHAnsi" w:cs="Calibri"/>
        </w:rPr>
        <w:t xml:space="preserve"> infection. Proc Natl </w:t>
      </w:r>
      <w:proofErr w:type="spellStart"/>
      <w:r w:rsidRPr="0014556C">
        <w:rPr>
          <w:rFonts w:ascii="Calibri" w:hAnsiTheme="majorHAnsi" w:cs="Calibri"/>
        </w:rPr>
        <w:t>Acad</w:t>
      </w:r>
      <w:proofErr w:type="spellEnd"/>
      <w:r w:rsidRPr="0014556C">
        <w:rPr>
          <w:rFonts w:ascii="Calibri" w:hAnsiTheme="majorHAnsi" w:cs="Calibri"/>
        </w:rPr>
        <w:t xml:space="preserve"> Sci. 2022 May 3;119(18</w:t>
      </w:r>
      <w:proofErr w:type="gramStart"/>
      <w:r w:rsidRPr="0014556C">
        <w:rPr>
          <w:rFonts w:ascii="Calibri" w:hAnsiTheme="majorHAnsi" w:cs="Calibri"/>
        </w:rPr>
        <w:t>):e</w:t>
      </w:r>
      <w:proofErr w:type="gramEnd"/>
      <w:r w:rsidRPr="0014556C">
        <w:rPr>
          <w:rFonts w:ascii="Calibri" w:hAnsiTheme="majorHAnsi" w:cs="Calibri"/>
        </w:rPr>
        <w:t xml:space="preserve">2118126119. </w:t>
      </w:r>
    </w:p>
    <w:p w14:paraId="3FC933BE" w14:textId="3BBBAD70" w:rsidR="0014556C" w:rsidRPr="0014556C" w:rsidRDefault="0014556C" w:rsidP="0014556C">
      <w:pPr>
        <w:pStyle w:val="Bibliography"/>
        <w:rPr>
          <w:rFonts w:ascii="Calibri" w:hAnsiTheme="majorHAnsi" w:cs="Calibri"/>
        </w:rPr>
      </w:pPr>
      <w:r w:rsidRPr="0014556C">
        <w:rPr>
          <w:rFonts w:ascii="Calibri" w:hAnsiTheme="majorHAnsi" w:cs="Calibri"/>
        </w:rPr>
        <w:t>6.</w:t>
      </w:r>
      <w:r w:rsidRPr="0014556C">
        <w:rPr>
          <w:rFonts w:ascii="Calibri" w:hAnsiTheme="majorHAnsi" w:cs="Calibri"/>
        </w:rPr>
        <w:tab/>
        <w:t xml:space="preserve">Clark T, Waller MA, Loo L, Moreno CL, Denes CE, Neely GG. CRISPR activation screens: navigating technologies and applications. Trends </w:t>
      </w:r>
      <w:proofErr w:type="spellStart"/>
      <w:r w:rsidRPr="0014556C">
        <w:rPr>
          <w:rFonts w:ascii="Calibri" w:hAnsiTheme="majorHAnsi" w:cs="Calibri"/>
        </w:rPr>
        <w:t>Biotechnol</w:t>
      </w:r>
      <w:proofErr w:type="spellEnd"/>
      <w:r w:rsidRPr="0014556C">
        <w:rPr>
          <w:rFonts w:ascii="Calibri" w:hAnsiTheme="majorHAnsi" w:cs="Calibri"/>
        </w:rPr>
        <w:t>; Available from: https://doi.org/10.1016/j.tibtech.2024.02.007</w:t>
      </w:r>
    </w:p>
    <w:p w14:paraId="24D2CA48" w14:textId="77777777" w:rsidR="0014556C" w:rsidRPr="0014556C" w:rsidRDefault="0014556C" w:rsidP="0014556C">
      <w:pPr>
        <w:pStyle w:val="Bibliography"/>
        <w:rPr>
          <w:rFonts w:ascii="Calibri" w:hAnsiTheme="majorHAnsi" w:cs="Calibri"/>
        </w:rPr>
      </w:pPr>
      <w:r w:rsidRPr="0014556C">
        <w:rPr>
          <w:rFonts w:ascii="Calibri" w:hAnsiTheme="majorHAnsi" w:cs="Calibri"/>
        </w:rPr>
        <w:t>7.</w:t>
      </w:r>
      <w:r w:rsidRPr="0014556C">
        <w:rPr>
          <w:rFonts w:ascii="Calibri" w:hAnsiTheme="majorHAnsi" w:cs="Calibri"/>
        </w:rPr>
        <w:tab/>
      </w:r>
      <w:proofErr w:type="spellStart"/>
      <w:r w:rsidRPr="0014556C">
        <w:rPr>
          <w:rFonts w:ascii="Calibri" w:hAnsiTheme="majorHAnsi" w:cs="Calibri"/>
        </w:rPr>
        <w:t>Pannhorst</w:t>
      </w:r>
      <w:proofErr w:type="spellEnd"/>
      <w:r w:rsidRPr="0014556C">
        <w:rPr>
          <w:rFonts w:ascii="Calibri" w:hAnsiTheme="majorHAnsi" w:cs="Calibri"/>
        </w:rPr>
        <w:t xml:space="preserve"> K, Carlson J, </w:t>
      </w:r>
      <w:proofErr w:type="spellStart"/>
      <w:r w:rsidRPr="0014556C">
        <w:rPr>
          <w:rFonts w:ascii="Calibri" w:hAnsiTheme="majorHAnsi" w:cs="Calibri"/>
        </w:rPr>
        <w:t>Hölper</w:t>
      </w:r>
      <w:proofErr w:type="spellEnd"/>
      <w:r w:rsidRPr="0014556C">
        <w:rPr>
          <w:rFonts w:ascii="Calibri" w:hAnsiTheme="majorHAnsi" w:cs="Calibri"/>
        </w:rPr>
        <w:t xml:space="preserve"> JE, Grey F, Baillie JK, </w:t>
      </w:r>
      <w:proofErr w:type="spellStart"/>
      <w:r w:rsidRPr="0014556C">
        <w:rPr>
          <w:rFonts w:ascii="Calibri" w:hAnsiTheme="majorHAnsi" w:cs="Calibri"/>
        </w:rPr>
        <w:t>Höper</w:t>
      </w:r>
      <w:proofErr w:type="spellEnd"/>
      <w:r w:rsidRPr="0014556C">
        <w:rPr>
          <w:rFonts w:ascii="Calibri" w:hAnsiTheme="majorHAnsi" w:cs="Calibri"/>
        </w:rPr>
        <w:t xml:space="preserve"> D, et al. The non-classical major histocompatibility complex II protein SLA-DM is crucial for African swine fever virus replication. Sci Rep. 2023;13(1):10342. </w:t>
      </w:r>
    </w:p>
    <w:p w14:paraId="45A6DFDB" w14:textId="77777777" w:rsidR="0014556C" w:rsidRPr="0014556C" w:rsidRDefault="0014556C" w:rsidP="0014556C">
      <w:pPr>
        <w:pStyle w:val="Bibliography"/>
        <w:rPr>
          <w:rFonts w:ascii="Calibri" w:hAnsiTheme="majorHAnsi" w:cs="Calibri"/>
        </w:rPr>
      </w:pPr>
      <w:r w:rsidRPr="0014556C">
        <w:rPr>
          <w:rFonts w:ascii="Calibri" w:hAnsiTheme="majorHAnsi" w:cs="Calibri"/>
        </w:rPr>
        <w:t>8.</w:t>
      </w:r>
      <w:r w:rsidRPr="0014556C">
        <w:rPr>
          <w:rFonts w:ascii="Calibri" w:hAnsiTheme="majorHAnsi" w:cs="Calibri"/>
        </w:rPr>
        <w:tab/>
        <w:t xml:space="preserve">Jiang J, Sun Y, Wang Y, </w:t>
      </w:r>
      <w:proofErr w:type="spellStart"/>
      <w:r w:rsidRPr="0014556C">
        <w:rPr>
          <w:rFonts w:ascii="Calibri" w:hAnsiTheme="majorHAnsi" w:cs="Calibri"/>
        </w:rPr>
        <w:t>Sabek</w:t>
      </w:r>
      <w:proofErr w:type="spellEnd"/>
      <w:r w:rsidRPr="0014556C">
        <w:rPr>
          <w:rFonts w:ascii="Calibri" w:hAnsiTheme="majorHAnsi" w:cs="Calibri"/>
        </w:rPr>
        <w:t xml:space="preserve"> A, </w:t>
      </w:r>
      <w:proofErr w:type="spellStart"/>
      <w:r w:rsidRPr="0014556C">
        <w:rPr>
          <w:rFonts w:ascii="Calibri" w:hAnsiTheme="majorHAnsi" w:cs="Calibri"/>
        </w:rPr>
        <w:t>Shangguan</w:t>
      </w:r>
      <w:proofErr w:type="spellEnd"/>
      <w:r w:rsidRPr="0014556C">
        <w:rPr>
          <w:rFonts w:ascii="Calibri" w:hAnsiTheme="majorHAnsi" w:cs="Calibri"/>
        </w:rPr>
        <w:t xml:space="preserve"> A, Wang K, et al. Genome-wide CRISPR/Cas9 screen identifies host factors important for porcine reproductive and respiratory syndrome virus replication. Virus Res. 2022 Jun </w:t>
      </w:r>
      <w:proofErr w:type="gramStart"/>
      <w:r w:rsidRPr="0014556C">
        <w:rPr>
          <w:rFonts w:ascii="Calibri" w:hAnsiTheme="majorHAnsi" w:cs="Calibri"/>
        </w:rPr>
        <w:t>1;314:198738</w:t>
      </w:r>
      <w:proofErr w:type="gramEnd"/>
      <w:r w:rsidRPr="0014556C">
        <w:rPr>
          <w:rFonts w:ascii="Calibri" w:hAnsiTheme="majorHAnsi" w:cs="Calibri"/>
        </w:rPr>
        <w:t xml:space="preserve">. </w:t>
      </w:r>
    </w:p>
    <w:p w14:paraId="2DE6BB23" w14:textId="77777777" w:rsidR="0014556C" w:rsidRPr="0014556C" w:rsidRDefault="0014556C" w:rsidP="0014556C">
      <w:pPr>
        <w:pStyle w:val="Bibliography"/>
        <w:rPr>
          <w:rFonts w:ascii="Calibri" w:hAnsiTheme="majorHAnsi" w:cs="Calibri"/>
        </w:rPr>
      </w:pPr>
      <w:r w:rsidRPr="0014556C">
        <w:rPr>
          <w:rFonts w:ascii="Calibri" w:hAnsiTheme="majorHAnsi" w:cs="Calibri"/>
        </w:rPr>
        <w:t>9.</w:t>
      </w:r>
      <w:r w:rsidRPr="0014556C">
        <w:rPr>
          <w:rFonts w:ascii="Calibri" w:hAnsiTheme="majorHAnsi" w:cs="Calibri"/>
        </w:rPr>
        <w:tab/>
        <w:t xml:space="preserve">Gordon MG, Inoue F, Martin B, </w:t>
      </w:r>
      <w:proofErr w:type="spellStart"/>
      <w:r w:rsidRPr="0014556C">
        <w:rPr>
          <w:rFonts w:ascii="Calibri" w:hAnsiTheme="majorHAnsi" w:cs="Calibri"/>
        </w:rPr>
        <w:t>Schubach</w:t>
      </w:r>
      <w:proofErr w:type="spellEnd"/>
      <w:r w:rsidRPr="0014556C">
        <w:rPr>
          <w:rFonts w:ascii="Calibri" w:hAnsiTheme="majorHAnsi" w:cs="Calibri"/>
        </w:rPr>
        <w:t xml:space="preserve"> M, Agarwal V, Whalen S, et al. </w:t>
      </w:r>
      <w:proofErr w:type="spellStart"/>
      <w:r w:rsidRPr="0014556C">
        <w:rPr>
          <w:rFonts w:ascii="Calibri" w:hAnsiTheme="majorHAnsi" w:cs="Calibri"/>
        </w:rPr>
        <w:t>lentiMPRA</w:t>
      </w:r>
      <w:proofErr w:type="spellEnd"/>
      <w:r w:rsidRPr="0014556C">
        <w:rPr>
          <w:rFonts w:ascii="Calibri" w:hAnsiTheme="majorHAnsi" w:cs="Calibri"/>
        </w:rPr>
        <w:t xml:space="preserve"> and </w:t>
      </w:r>
      <w:proofErr w:type="spellStart"/>
      <w:r w:rsidRPr="0014556C">
        <w:rPr>
          <w:rFonts w:ascii="Calibri" w:hAnsiTheme="majorHAnsi" w:cs="Calibri"/>
        </w:rPr>
        <w:t>MPRAflow</w:t>
      </w:r>
      <w:proofErr w:type="spellEnd"/>
      <w:r w:rsidRPr="0014556C">
        <w:rPr>
          <w:rFonts w:ascii="Calibri" w:hAnsiTheme="majorHAnsi" w:cs="Calibri"/>
        </w:rPr>
        <w:t xml:space="preserve"> for high-throughput functional characterization of gene regulatory elements. Nat </w:t>
      </w:r>
      <w:proofErr w:type="spellStart"/>
      <w:r w:rsidRPr="0014556C">
        <w:rPr>
          <w:rFonts w:ascii="Calibri" w:hAnsiTheme="majorHAnsi" w:cs="Calibri"/>
        </w:rPr>
        <w:t>Protoc</w:t>
      </w:r>
      <w:proofErr w:type="spellEnd"/>
      <w:r w:rsidRPr="0014556C">
        <w:rPr>
          <w:rFonts w:ascii="Calibri" w:hAnsiTheme="majorHAnsi" w:cs="Calibri"/>
        </w:rPr>
        <w:t xml:space="preserve">. 2020 Aug 1;15(8):2387–412. </w:t>
      </w:r>
    </w:p>
    <w:p w14:paraId="07A5FABF" w14:textId="3726F1D5" w:rsidR="0014556C" w:rsidRPr="0014556C" w:rsidRDefault="0014556C" w:rsidP="0014556C">
      <w:pPr>
        <w:pStyle w:val="Bibliography"/>
        <w:rPr>
          <w:rFonts w:ascii="Calibri" w:hAnsiTheme="majorHAnsi" w:cs="Calibri"/>
        </w:rPr>
      </w:pPr>
      <w:r w:rsidRPr="0014556C">
        <w:rPr>
          <w:rFonts w:ascii="Calibri" w:hAnsiTheme="majorHAnsi" w:cs="Calibri"/>
        </w:rPr>
        <w:t>10.</w:t>
      </w:r>
      <w:r w:rsidRPr="0014556C">
        <w:rPr>
          <w:rFonts w:ascii="Calibri" w:hAnsiTheme="majorHAnsi" w:cs="Calibri"/>
        </w:rPr>
        <w:tab/>
        <w:t xml:space="preserve">Littlejohn MD, </w:t>
      </w:r>
      <w:proofErr w:type="spellStart"/>
      <w:r w:rsidRPr="0014556C">
        <w:rPr>
          <w:rFonts w:ascii="Calibri" w:hAnsiTheme="majorHAnsi" w:cs="Calibri"/>
        </w:rPr>
        <w:t>Lopdell</w:t>
      </w:r>
      <w:proofErr w:type="spellEnd"/>
      <w:r w:rsidRPr="0014556C">
        <w:rPr>
          <w:rFonts w:ascii="Calibri" w:hAnsiTheme="majorHAnsi" w:cs="Calibri"/>
        </w:rPr>
        <w:t xml:space="preserve"> TJ, </w:t>
      </w:r>
      <w:proofErr w:type="spellStart"/>
      <w:r w:rsidRPr="0014556C">
        <w:rPr>
          <w:rFonts w:ascii="Calibri" w:hAnsiTheme="majorHAnsi" w:cs="Calibri"/>
        </w:rPr>
        <w:t>Trevarton</w:t>
      </w:r>
      <w:proofErr w:type="spellEnd"/>
      <w:r w:rsidRPr="0014556C">
        <w:rPr>
          <w:rFonts w:ascii="Calibri" w:hAnsiTheme="majorHAnsi" w:cs="Calibri"/>
        </w:rPr>
        <w:t xml:space="preserve"> A, Moody J, Tiplady KM, </w:t>
      </w:r>
      <w:proofErr w:type="spellStart"/>
      <w:r w:rsidRPr="0014556C">
        <w:rPr>
          <w:rFonts w:ascii="Calibri" w:hAnsiTheme="majorHAnsi" w:cs="Calibri"/>
        </w:rPr>
        <w:t>Burborough</w:t>
      </w:r>
      <w:proofErr w:type="spellEnd"/>
      <w:r w:rsidRPr="0014556C">
        <w:rPr>
          <w:rFonts w:ascii="Calibri" w:hAnsiTheme="majorHAnsi" w:cs="Calibri"/>
        </w:rPr>
        <w:t xml:space="preserve"> KA, et al. 534. A massively parallel reporter assay to screen bovine regulatory variants. In: Proceedings of 12th World Congress on Genetics Applied to Livestock Production (WCGALP). Wageningen Academic Publishers; 2022. p. 534–2216. Available from: https://doi.org/10.3920/978-90-8686-940-4_534</w:t>
      </w:r>
    </w:p>
    <w:p w14:paraId="05911A60" w14:textId="19CF2B45" w:rsidR="0014556C" w:rsidRPr="0014556C" w:rsidRDefault="0014556C" w:rsidP="0014556C">
      <w:pPr>
        <w:pStyle w:val="Bibliography"/>
        <w:rPr>
          <w:rFonts w:ascii="Calibri" w:hAnsiTheme="majorHAnsi" w:cs="Calibri"/>
        </w:rPr>
      </w:pPr>
      <w:r w:rsidRPr="0014556C">
        <w:rPr>
          <w:rFonts w:ascii="Calibri" w:hAnsiTheme="majorHAnsi" w:cs="Calibri"/>
        </w:rPr>
        <w:t>11.</w:t>
      </w:r>
      <w:r w:rsidRPr="0014556C">
        <w:rPr>
          <w:rFonts w:ascii="Calibri" w:hAnsiTheme="majorHAnsi" w:cs="Calibri"/>
        </w:rPr>
        <w:tab/>
        <w:t>Dang W, Li T, Xu F, Wang Y, Yang F, Zheng H. Establishment of a CRISPR/Cas9 knockout library for screening type I interferon-inducible antiviral effectors in pig cells. Front Immunol</w:t>
      </w:r>
      <w:r>
        <w:rPr>
          <w:rFonts w:ascii="Calibri" w:hAnsiTheme="majorHAnsi" w:cs="Calibri"/>
        </w:rPr>
        <w:t xml:space="preserve">. </w:t>
      </w:r>
      <w:r w:rsidRPr="0014556C">
        <w:rPr>
          <w:rFonts w:ascii="Calibri" w:hAnsiTheme="majorHAnsi" w:cs="Calibri"/>
        </w:rPr>
        <w:t>2022;13. Available from: https://www.frontiersin.org/journals/immunology/articles/10.3389/fimmu.2022.1016545</w:t>
      </w:r>
    </w:p>
    <w:p w14:paraId="2AAD9610" w14:textId="77777777" w:rsidR="0014556C" w:rsidRPr="0014556C" w:rsidRDefault="0014556C" w:rsidP="0014556C">
      <w:pPr>
        <w:pStyle w:val="Bibliography"/>
        <w:rPr>
          <w:rFonts w:ascii="Calibri" w:hAnsiTheme="majorHAnsi" w:cs="Calibri"/>
        </w:rPr>
      </w:pPr>
      <w:r w:rsidRPr="0014556C">
        <w:rPr>
          <w:rFonts w:ascii="Calibri" w:hAnsiTheme="majorHAnsi" w:cs="Calibri"/>
        </w:rPr>
        <w:lastRenderedPageBreak/>
        <w:t>12.</w:t>
      </w:r>
      <w:r w:rsidRPr="0014556C">
        <w:rPr>
          <w:rFonts w:ascii="Calibri" w:hAnsiTheme="majorHAnsi" w:cs="Calibri"/>
        </w:rPr>
        <w:tab/>
      </w:r>
      <w:proofErr w:type="spellStart"/>
      <w:r w:rsidRPr="0014556C">
        <w:rPr>
          <w:rFonts w:ascii="Calibri" w:hAnsiTheme="majorHAnsi" w:cs="Calibri"/>
        </w:rPr>
        <w:t>Redel</w:t>
      </w:r>
      <w:proofErr w:type="spellEnd"/>
      <w:r w:rsidRPr="0014556C">
        <w:rPr>
          <w:rFonts w:ascii="Calibri" w:hAnsiTheme="majorHAnsi" w:cs="Calibri"/>
        </w:rPr>
        <w:t xml:space="preserve"> BK, Yoon J, Reese E, An H, Uh K, Chen PR, et al. Novel </w:t>
      </w:r>
      <w:proofErr w:type="gramStart"/>
      <w:r w:rsidRPr="0014556C">
        <w:rPr>
          <w:rFonts w:ascii="Calibri" w:hAnsiTheme="majorHAnsi" w:cs="Calibri"/>
        </w:rPr>
        <w:t>off</w:t>
      </w:r>
      <w:proofErr w:type="gramEnd"/>
      <w:r w:rsidRPr="0014556C">
        <w:rPr>
          <w:rFonts w:ascii="Calibri" w:hAnsiTheme="majorHAnsi" w:cs="Calibri"/>
        </w:rPr>
        <w:t xml:space="preserve">-Targeting Events Identified after Genome Wide Analysis of CRISPR-Cas Edited Pigs. CRISPR J. 2024 Jun 1;7(3):141–9. </w:t>
      </w:r>
    </w:p>
    <w:p w14:paraId="6062BEB3" w14:textId="77777777" w:rsidR="0014556C" w:rsidRPr="0014556C" w:rsidRDefault="0014556C" w:rsidP="0014556C">
      <w:pPr>
        <w:pStyle w:val="Bibliography"/>
        <w:rPr>
          <w:rFonts w:ascii="Calibri" w:hAnsiTheme="majorHAnsi" w:cs="Calibri"/>
        </w:rPr>
      </w:pPr>
      <w:r w:rsidRPr="0014556C">
        <w:rPr>
          <w:rFonts w:ascii="Calibri" w:hAnsiTheme="majorHAnsi" w:cs="Calibri"/>
        </w:rPr>
        <w:t>13.</w:t>
      </w:r>
      <w:r w:rsidRPr="0014556C">
        <w:rPr>
          <w:rFonts w:ascii="Calibri" w:hAnsiTheme="majorHAnsi" w:cs="Calibri"/>
        </w:rPr>
        <w:tab/>
      </w:r>
      <w:proofErr w:type="spellStart"/>
      <w:r w:rsidRPr="0014556C">
        <w:rPr>
          <w:rFonts w:ascii="Calibri" w:hAnsiTheme="majorHAnsi" w:cs="Calibri"/>
        </w:rPr>
        <w:t>Rieblinger</w:t>
      </w:r>
      <w:proofErr w:type="spellEnd"/>
      <w:r w:rsidRPr="0014556C">
        <w:rPr>
          <w:rFonts w:ascii="Calibri" w:hAnsiTheme="majorHAnsi" w:cs="Calibri"/>
        </w:rPr>
        <w:t xml:space="preserve"> B, Sid H, </w:t>
      </w:r>
      <w:proofErr w:type="spellStart"/>
      <w:r w:rsidRPr="0014556C">
        <w:rPr>
          <w:rFonts w:ascii="Calibri" w:hAnsiTheme="majorHAnsi" w:cs="Calibri"/>
        </w:rPr>
        <w:t>Duda</w:t>
      </w:r>
      <w:proofErr w:type="spellEnd"/>
      <w:r w:rsidRPr="0014556C">
        <w:rPr>
          <w:rFonts w:ascii="Calibri" w:hAnsiTheme="majorHAnsi" w:cs="Calibri"/>
        </w:rPr>
        <w:t xml:space="preserve"> D, </w:t>
      </w:r>
      <w:proofErr w:type="spellStart"/>
      <w:r w:rsidRPr="0014556C">
        <w:rPr>
          <w:rFonts w:ascii="Calibri" w:hAnsiTheme="majorHAnsi" w:cs="Calibri"/>
        </w:rPr>
        <w:t>Bozoglu</w:t>
      </w:r>
      <w:proofErr w:type="spellEnd"/>
      <w:r w:rsidRPr="0014556C">
        <w:rPr>
          <w:rFonts w:ascii="Calibri" w:hAnsiTheme="majorHAnsi" w:cs="Calibri"/>
        </w:rPr>
        <w:t xml:space="preserve"> T, Klinger R, </w:t>
      </w:r>
      <w:proofErr w:type="spellStart"/>
      <w:r w:rsidRPr="0014556C">
        <w:rPr>
          <w:rFonts w:ascii="Calibri" w:hAnsiTheme="majorHAnsi" w:cs="Calibri"/>
        </w:rPr>
        <w:t>Schlickenrieder</w:t>
      </w:r>
      <w:proofErr w:type="spellEnd"/>
      <w:r w:rsidRPr="0014556C">
        <w:rPr>
          <w:rFonts w:ascii="Calibri" w:hAnsiTheme="majorHAnsi" w:cs="Calibri"/>
        </w:rPr>
        <w:t xml:space="preserve"> A, et al. Cas9-expressing chickens and pigs as resources for genome editing in livestock. Proc Natl </w:t>
      </w:r>
      <w:proofErr w:type="spellStart"/>
      <w:r w:rsidRPr="0014556C">
        <w:rPr>
          <w:rFonts w:ascii="Calibri" w:hAnsiTheme="majorHAnsi" w:cs="Calibri"/>
        </w:rPr>
        <w:t>Acad</w:t>
      </w:r>
      <w:proofErr w:type="spellEnd"/>
      <w:r w:rsidRPr="0014556C">
        <w:rPr>
          <w:rFonts w:ascii="Calibri" w:hAnsiTheme="majorHAnsi" w:cs="Calibri"/>
        </w:rPr>
        <w:t xml:space="preserve"> Sci U S A. 2021 Mar </w:t>
      </w:r>
      <w:proofErr w:type="gramStart"/>
      <w:r w:rsidRPr="0014556C">
        <w:rPr>
          <w:rFonts w:ascii="Calibri" w:hAnsiTheme="majorHAnsi" w:cs="Calibri"/>
        </w:rPr>
        <w:t>9;</w:t>
      </w:r>
      <w:proofErr w:type="gramEnd"/>
      <w:r w:rsidRPr="0014556C">
        <w:rPr>
          <w:rFonts w:ascii="Calibri" w:hAnsiTheme="majorHAnsi" w:cs="Calibri"/>
        </w:rPr>
        <w:t xml:space="preserve">118(10). </w:t>
      </w:r>
    </w:p>
    <w:p w14:paraId="473ABF87" w14:textId="645ACC53" w:rsidR="0014556C" w:rsidRPr="0014556C" w:rsidRDefault="0014556C" w:rsidP="0014556C">
      <w:pPr>
        <w:pStyle w:val="Bibliography"/>
        <w:rPr>
          <w:rFonts w:ascii="Calibri" w:hAnsiTheme="majorHAnsi" w:cs="Calibri"/>
        </w:rPr>
      </w:pPr>
      <w:r w:rsidRPr="0014556C">
        <w:rPr>
          <w:rFonts w:ascii="Calibri" w:hAnsiTheme="majorHAnsi" w:cs="Calibri"/>
        </w:rPr>
        <w:t>14.</w:t>
      </w:r>
      <w:r w:rsidRPr="0014556C">
        <w:rPr>
          <w:rFonts w:ascii="Calibri" w:hAnsiTheme="majorHAnsi" w:cs="Calibri"/>
        </w:rPr>
        <w:tab/>
      </w:r>
      <w:proofErr w:type="spellStart"/>
      <w:r w:rsidRPr="0014556C">
        <w:rPr>
          <w:rFonts w:ascii="Calibri" w:hAnsiTheme="majorHAnsi" w:cs="Calibri"/>
        </w:rPr>
        <w:t>Vinceti</w:t>
      </w:r>
      <w:proofErr w:type="spellEnd"/>
      <w:r w:rsidRPr="0014556C">
        <w:rPr>
          <w:rFonts w:ascii="Calibri" w:hAnsiTheme="majorHAnsi" w:cs="Calibri"/>
        </w:rPr>
        <w:t xml:space="preserve"> A, De Lucia RR, </w:t>
      </w:r>
      <w:proofErr w:type="spellStart"/>
      <w:r w:rsidRPr="0014556C">
        <w:rPr>
          <w:rFonts w:ascii="Calibri" w:hAnsiTheme="majorHAnsi" w:cs="Calibri"/>
        </w:rPr>
        <w:t>Cremaschi</w:t>
      </w:r>
      <w:proofErr w:type="spellEnd"/>
      <w:r w:rsidRPr="0014556C">
        <w:rPr>
          <w:rFonts w:ascii="Calibri" w:hAnsiTheme="majorHAnsi" w:cs="Calibri"/>
        </w:rPr>
        <w:t xml:space="preserve"> P, Perron U, </w:t>
      </w:r>
      <w:proofErr w:type="spellStart"/>
      <w:r w:rsidRPr="0014556C">
        <w:rPr>
          <w:rFonts w:ascii="Calibri" w:hAnsiTheme="majorHAnsi" w:cs="Calibri"/>
        </w:rPr>
        <w:t>Karakoc</w:t>
      </w:r>
      <w:proofErr w:type="spellEnd"/>
      <w:r w:rsidRPr="0014556C">
        <w:rPr>
          <w:rFonts w:ascii="Calibri" w:hAnsiTheme="majorHAnsi" w:cs="Calibri"/>
        </w:rPr>
        <w:t xml:space="preserve"> E, Mauri L, et al. An interactive web application for processing, correcting, and visualizing genome-wide pooled CRISPR-Cas9 screens. Cell Rep Methods. 2023 Jan 23;3(1). Available from: https://doi.org/10.1016/j.crmeth.2022.100373</w:t>
      </w:r>
    </w:p>
    <w:p w14:paraId="33D28A77" w14:textId="77777777" w:rsidR="0014556C" w:rsidRPr="0014556C" w:rsidRDefault="0014556C" w:rsidP="0014556C">
      <w:pPr>
        <w:pStyle w:val="Bibliography"/>
        <w:rPr>
          <w:rFonts w:ascii="Calibri" w:hAnsiTheme="majorHAnsi" w:cs="Calibri"/>
        </w:rPr>
      </w:pPr>
      <w:r w:rsidRPr="0014556C">
        <w:rPr>
          <w:rFonts w:ascii="Calibri" w:hAnsiTheme="majorHAnsi" w:cs="Calibri"/>
        </w:rPr>
        <w:t>15.</w:t>
      </w:r>
      <w:r w:rsidRPr="0014556C">
        <w:rPr>
          <w:rFonts w:ascii="Calibri" w:hAnsiTheme="majorHAnsi" w:cs="Calibri"/>
        </w:rPr>
        <w:tab/>
        <w:t xml:space="preserve">Clark EL. Breeding in an Era of Genome Editing </w:t>
      </w:r>
      <w:proofErr w:type="gramStart"/>
      <w:r w:rsidRPr="0014556C">
        <w:rPr>
          <w:rFonts w:ascii="Calibri" w:hAnsiTheme="majorHAnsi" w:cs="Calibri"/>
        </w:rPr>
        <w:t>BT  -</w:t>
      </w:r>
      <w:proofErr w:type="gramEnd"/>
      <w:r w:rsidRPr="0014556C">
        <w:rPr>
          <w:rFonts w:ascii="Calibri" w:hAnsiTheme="majorHAnsi" w:cs="Calibri"/>
        </w:rPr>
        <w:t xml:space="preserve"> </w:t>
      </w:r>
      <w:proofErr w:type="spellStart"/>
      <w:r w:rsidRPr="0014556C">
        <w:rPr>
          <w:rFonts w:ascii="Calibri" w:hAnsiTheme="majorHAnsi" w:cs="Calibri"/>
        </w:rPr>
        <w:t>Encyclopedia</w:t>
      </w:r>
      <w:proofErr w:type="spellEnd"/>
      <w:r w:rsidRPr="0014556C">
        <w:rPr>
          <w:rFonts w:ascii="Calibri" w:hAnsiTheme="majorHAnsi" w:cs="Calibri"/>
        </w:rPr>
        <w:t xml:space="preserve"> of Sustainability Science and Technology. In: Meyers RA, editor. New York, NY: Springer New York; 2020. p. 1–16. Available from: https://doi.org/10.1007/978-1-4939-2493-6_1122-1</w:t>
      </w:r>
    </w:p>
    <w:p w14:paraId="2F16CAB4" w14:textId="77777777" w:rsidR="0014556C" w:rsidRPr="0014556C" w:rsidRDefault="0014556C" w:rsidP="0014556C">
      <w:pPr>
        <w:pStyle w:val="Bibliography"/>
        <w:rPr>
          <w:rFonts w:ascii="Calibri" w:hAnsiTheme="majorHAnsi" w:cs="Calibri"/>
        </w:rPr>
      </w:pPr>
      <w:r w:rsidRPr="0014556C">
        <w:rPr>
          <w:rFonts w:ascii="Calibri" w:hAnsiTheme="majorHAnsi" w:cs="Calibri"/>
        </w:rPr>
        <w:t>16.</w:t>
      </w:r>
      <w:r w:rsidRPr="0014556C">
        <w:rPr>
          <w:rFonts w:ascii="Calibri" w:hAnsiTheme="majorHAnsi" w:cs="Calibri"/>
        </w:rPr>
        <w:tab/>
        <w:t xml:space="preserve">Tait-Burkard C, </w:t>
      </w:r>
      <w:proofErr w:type="spellStart"/>
      <w:r w:rsidRPr="0014556C">
        <w:rPr>
          <w:rFonts w:ascii="Calibri" w:hAnsiTheme="majorHAnsi" w:cs="Calibri"/>
        </w:rPr>
        <w:t>Doeschl</w:t>
      </w:r>
      <w:proofErr w:type="spellEnd"/>
      <w:r w:rsidRPr="0014556C">
        <w:rPr>
          <w:rFonts w:ascii="Calibri" w:hAnsiTheme="majorHAnsi" w:cs="Calibri"/>
        </w:rPr>
        <w:t xml:space="preserve">-Wilson A, McGrew MJ, Archibald AL, Sang HM, Houston RD, et al. Livestock 2.0 – genome editing for fitter, healthier, and more productive farmed animals. Genome Biol. 2018;19(1):204. </w:t>
      </w:r>
    </w:p>
    <w:p w14:paraId="186B1C35" w14:textId="77777777" w:rsidR="0014556C" w:rsidRPr="0014556C" w:rsidRDefault="0014556C" w:rsidP="0014556C">
      <w:pPr>
        <w:pStyle w:val="Bibliography"/>
        <w:rPr>
          <w:rFonts w:ascii="Calibri" w:hAnsiTheme="majorHAnsi" w:cs="Calibri"/>
        </w:rPr>
      </w:pPr>
      <w:r w:rsidRPr="0014556C">
        <w:rPr>
          <w:rFonts w:ascii="Calibri" w:hAnsiTheme="majorHAnsi" w:cs="Calibri"/>
        </w:rPr>
        <w:t>17.</w:t>
      </w:r>
      <w:r w:rsidRPr="0014556C">
        <w:rPr>
          <w:rFonts w:ascii="Calibri" w:hAnsiTheme="majorHAnsi" w:cs="Calibri"/>
        </w:rPr>
        <w:tab/>
        <w:t xml:space="preserve">Yu C, Zhong H, Yang X, Li G, Wu Z, Yang H. Establishment of a pig CRISPR/Cas9 knockout library for functional gene screening in pig cells. </w:t>
      </w:r>
      <w:proofErr w:type="spellStart"/>
      <w:r w:rsidRPr="0014556C">
        <w:rPr>
          <w:rFonts w:ascii="Calibri" w:hAnsiTheme="majorHAnsi" w:cs="Calibri"/>
        </w:rPr>
        <w:t>Biotechnol</w:t>
      </w:r>
      <w:proofErr w:type="spellEnd"/>
      <w:r w:rsidRPr="0014556C">
        <w:rPr>
          <w:rFonts w:ascii="Calibri" w:hAnsiTheme="majorHAnsi" w:cs="Calibri"/>
        </w:rPr>
        <w:t xml:space="preserve"> J. 2022 Jul;17(7</w:t>
      </w:r>
      <w:proofErr w:type="gramStart"/>
      <w:r w:rsidRPr="0014556C">
        <w:rPr>
          <w:rFonts w:ascii="Calibri" w:hAnsiTheme="majorHAnsi" w:cs="Calibri"/>
        </w:rPr>
        <w:t>):e</w:t>
      </w:r>
      <w:proofErr w:type="gramEnd"/>
      <w:r w:rsidRPr="0014556C">
        <w:rPr>
          <w:rFonts w:ascii="Calibri" w:hAnsiTheme="majorHAnsi" w:cs="Calibri"/>
        </w:rPr>
        <w:t xml:space="preserve">2100408. </w:t>
      </w:r>
    </w:p>
    <w:p w14:paraId="770B11FA" w14:textId="676245DF" w:rsidR="00BC6095" w:rsidRPr="00BB2F22" w:rsidRDefault="00122463" w:rsidP="0041334B">
      <w:pPr>
        <w:widowControl w:val="0"/>
        <w:autoSpaceDE w:val="0"/>
        <w:autoSpaceDN w:val="0"/>
        <w:adjustRightInd w:val="0"/>
        <w:ind w:left="640" w:hanging="640"/>
        <w:jc w:val="both"/>
        <w:rPr>
          <w:rFonts w:asciiTheme="majorHAnsi" w:eastAsia="Century Gothic" w:hAnsiTheme="majorHAnsi" w:cstheme="majorHAnsi"/>
          <w:color w:val="000000" w:themeColor="text1"/>
        </w:rPr>
      </w:pPr>
      <w:r w:rsidRPr="0014556C">
        <w:rPr>
          <w:rFonts w:asciiTheme="majorHAnsi" w:eastAsia="Century Gothic" w:hAnsiTheme="majorHAnsi" w:cstheme="majorHAnsi"/>
          <w:color w:val="000000" w:themeColor="text1"/>
        </w:rPr>
        <w:fldChar w:fldCharType="end"/>
      </w:r>
    </w:p>
    <w:p w14:paraId="1D1DC77F" w14:textId="2ED57764" w:rsidR="006829FC" w:rsidRPr="00463CDC" w:rsidRDefault="006829FC" w:rsidP="00463CDC">
      <w:pPr>
        <w:rPr>
          <w:rFonts w:asciiTheme="majorHAnsi" w:eastAsia="Century Gothic" w:hAnsiTheme="majorHAnsi" w:cstheme="majorHAnsi"/>
          <w:b/>
          <w:szCs w:val="28"/>
        </w:rPr>
      </w:pPr>
    </w:p>
    <w:sectPr w:rsidR="006829FC" w:rsidRPr="00463CDC" w:rsidSect="00492041">
      <w:footerReference w:type="even" r:id="rId35"/>
      <w:footerReference w:type="default" r:id="rId36"/>
      <w:pgSz w:w="11906" w:h="16838"/>
      <w:pgMar w:top="1440" w:right="1558" w:bottom="1440" w:left="1701" w:header="708" w:footer="347"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E2746" w14:textId="77777777" w:rsidR="00380DEF" w:rsidRDefault="00380DEF">
      <w:r>
        <w:separator/>
      </w:r>
    </w:p>
    <w:p w14:paraId="5E95874A" w14:textId="77777777" w:rsidR="00380DEF" w:rsidRDefault="00380DEF"/>
  </w:endnote>
  <w:endnote w:type="continuationSeparator" w:id="0">
    <w:p w14:paraId="614D7CB9" w14:textId="77777777" w:rsidR="00380DEF" w:rsidRDefault="00380DEF">
      <w:r>
        <w:continuationSeparator/>
      </w:r>
    </w:p>
    <w:p w14:paraId="74B6AC88" w14:textId="77777777" w:rsidR="00380DEF" w:rsidRDefault="00380D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6757225"/>
      <w:docPartObj>
        <w:docPartGallery w:val="Page Numbers (Bottom of Page)"/>
        <w:docPartUnique/>
      </w:docPartObj>
    </w:sdtPr>
    <w:sdtContent>
      <w:p w14:paraId="1CC09264" w14:textId="40B49D07" w:rsidR="00B7468D" w:rsidRDefault="00B7468D" w:rsidP="00B74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7FA3ED" w14:textId="77777777" w:rsidR="00B7468D" w:rsidRDefault="00B7468D" w:rsidP="00D209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97499"/>
      <w:docPartObj>
        <w:docPartGallery w:val="Page Numbers (Bottom of Page)"/>
        <w:docPartUnique/>
      </w:docPartObj>
    </w:sdtPr>
    <w:sdtContent>
      <w:p w14:paraId="16F2488B" w14:textId="2CC90C9C" w:rsidR="00B7468D" w:rsidRDefault="00B7468D" w:rsidP="00B746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C6F49">
          <w:rPr>
            <w:rStyle w:val="PageNumber"/>
            <w:noProof/>
          </w:rPr>
          <w:t>8</w:t>
        </w:r>
        <w:r>
          <w:rPr>
            <w:rStyle w:val="PageNumber"/>
          </w:rPr>
          <w:fldChar w:fldCharType="end"/>
        </w:r>
      </w:p>
    </w:sdtContent>
  </w:sdt>
  <w:p w14:paraId="59A88444" w14:textId="1BCEE3F0" w:rsidR="00B7468D" w:rsidRPr="00AB5525" w:rsidRDefault="00B7468D" w:rsidP="007E1C18">
    <w:pPr>
      <w:pStyle w:val="Footer"/>
      <w:ind w:right="360"/>
      <w:jc w:val="both"/>
      <w:rPr>
        <w:rFonts w:asciiTheme="majorHAnsi" w:hAnsiTheme="majorHAnsi" w:cstheme="majorHAnsi"/>
        <w:color w:val="404D5E"/>
        <w:sz w:val="18"/>
      </w:rPr>
    </w:pPr>
    <w:r w:rsidRPr="00AB5525">
      <w:rPr>
        <w:rFonts w:asciiTheme="majorHAnsi" w:hAnsiTheme="majorHAnsi" w:cstheme="majorHAnsi"/>
      </w:rPr>
      <w:t>D5.</w:t>
    </w:r>
    <w:r w:rsidR="007E1C18" w:rsidRPr="00AB5525">
      <w:rPr>
        <w:rFonts w:asciiTheme="majorHAnsi" w:hAnsiTheme="majorHAnsi" w:cstheme="majorHAnsi"/>
      </w:rPr>
      <w:t>1</w:t>
    </w:r>
    <w:r w:rsidRPr="00AB5525">
      <w:rPr>
        <w:rFonts w:asciiTheme="majorHAnsi" w:hAnsiTheme="majorHAnsi" w:cstheme="majorHAnsi"/>
      </w:rPr>
      <w:t xml:space="preserve"> </w:t>
    </w:r>
    <w:r w:rsidR="007E1C18" w:rsidRPr="00AB5525">
      <w:rPr>
        <w:rFonts w:asciiTheme="majorHAnsi" w:eastAsia="Century Gothic" w:hAnsiTheme="majorHAnsi" w:cstheme="majorHAnsi"/>
      </w:rPr>
      <w:t>A</w:t>
    </w:r>
    <w:r w:rsidR="007E1C18" w:rsidRPr="00AB5525">
      <w:rPr>
        <w:rFonts w:asciiTheme="majorHAnsi" w:eastAsiaTheme="minorEastAsia" w:hAnsiTheme="majorHAnsi" w:cstheme="majorHAnsi"/>
      </w:rPr>
      <w:t xml:space="preserve"> framework for access to high-throughput phenotyping (HTP) platforms for the validation of candidate causal variants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D90E5" w14:textId="77777777" w:rsidR="00380DEF" w:rsidRDefault="00380DEF">
      <w:r>
        <w:separator/>
      </w:r>
    </w:p>
    <w:p w14:paraId="49CC78DB" w14:textId="77777777" w:rsidR="00380DEF" w:rsidRDefault="00380DEF"/>
  </w:footnote>
  <w:footnote w:type="continuationSeparator" w:id="0">
    <w:p w14:paraId="33340F54" w14:textId="77777777" w:rsidR="00380DEF" w:rsidRDefault="00380DEF">
      <w:r>
        <w:continuationSeparator/>
      </w:r>
    </w:p>
    <w:p w14:paraId="6F3CCCE0" w14:textId="77777777" w:rsidR="00380DEF" w:rsidRDefault="00380DE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D20FF"/>
    <w:multiLevelType w:val="hybridMultilevel"/>
    <w:tmpl w:val="05588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F01EF"/>
    <w:multiLevelType w:val="hybridMultilevel"/>
    <w:tmpl w:val="95DE11A0"/>
    <w:lvl w:ilvl="0" w:tplc="862A92D6">
      <w:start w:val="2"/>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1E06C32"/>
    <w:multiLevelType w:val="hybridMultilevel"/>
    <w:tmpl w:val="384ABA6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997B74"/>
    <w:multiLevelType w:val="hybridMultilevel"/>
    <w:tmpl w:val="A5E003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88975AF"/>
    <w:multiLevelType w:val="multilevel"/>
    <w:tmpl w:val="0E82EA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5924AD"/>
    <w:multiLevelType w:val="hybridMultilevel"/>
    <w:tmpl w:val="955EB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036C2A"/>
    <w:multiLevelType w:val="multilevel"/>
    <w:tmpl w:val="90AEF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8E19D3"/>
    <w:multiLevelType w:val="hybridMultilevel"/>
    <w:tmpl w:val="2C203418"/>
    <w:lvl w:ilvl="0" w:tplc="4E1636F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354E2D"/>
    <w:multiLevelType w:val="hybridMultilevel"/>
    <w:tmpl w:val="DA08DFB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602DD3"/>
    <w:multiLevelType w:val="hybridMultilevel"/>
    <w:tmpl w:val="493CD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B306DD"/>
    <w:multiLevelType w:val="hybridMultilevel"/>
    <w:tmpl w:val="F9C6AFEC"/>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025251B"/>
    <w:multiLevelType w:val="hybridMultilevel"/>
    <w:tmpl w:val="F7005410"/>
    <w:lvl w:ilvl="0" w:tplc="08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30544F5F"/>
    <w:multiLevelType w:val="hybridMultilevel"/>
    <w:tmpl w:val="6B88C4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5302F3"/>
    <w:multiLevelType w:val="hybridMultilevel"/>
    <w:tmpl w:val="BB4C0C74"/>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BE20C79"/>
    <w:multiLevelType w:val="multilevel"/>
    <w:tmpl w:val="729089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C281D08"/>
    <w:multiLevelType w:val="multilevel"/>
    <w:tmpl w:val="2CC6376C"/>
    <w:lvl w:ilvl="0">
      <w:start w:val="1"/>
      <w:numFmt w:val="decimal"/>
      <w:lvlText w:val="%1."/>
      <w:lvlJc w:val="left"/>
      <w:pPr>
        <w:ind w:left="360" w:hanging="360"/>
      </w:pPr>
      <w:rPr>
        <w:rFonts w:hint="default"/>
      </w:rPr>
    </w:lvl>
    <w:lvl w:ilvl="1">
      <w:start w:val="1"/>
      <w:numFmt w:val="decimal"/>
      <w:lvlText w:val="%1.%2."/>
      <w:lvlJc w:val="left"/>
      <w:pPr>
        <w:ind w:left="792" w:hanging="432"/>
      </w:pPr>
      <w:rPr>
        <w:color w:val="404D5E"/>
      </w:rPr>
    </w:lvl>
    <w:lvl w:ilvl="2">
      <w:start w:val="1"/>
      <w:numFmt w:val="decimal"/>
      <w:lvlText w:val="%1.%2.%3."/>
      <w:lvlJc w:val="left"/>
      <w:pPr>
        <w:ind w:left="1224" w:hanging="504"/>
      </w:pPr>
      <w:rPr>
        <w:b/>
        <w:color w:val="404D5E"/>
        <w:sz w:val="22"/>
        <w:szCs w:val="22"/>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CF955DB"/>
    <w:multiLevelType w:val="hybridMultilevel"/>
    <w:tmpl w:val="D28276F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5C7E93"/>
    <w:multiLevelType w:val="multilevel"/>
    <w:tmpl w:val="B4A6FABC"/>
    <w:lvl w:ilvl="0">
      <w:start w:val="1"/>
      <w:numFmt w:val="decimal"/>
      <w:pStyle w:val="Heading1"/>
      <w:lvlText w:val="%1."/>
      <w:lvlJc w:val="left"/>
      <w:pPr>
        <w:ind w:left="360" w:hanging="360"/>
      </w:pPr>
    </w:lvl>
    <w:lvl w:ilvl="1">
      <w:start w:val="1"/>
      <w:numFmt w:val="decimal"/>
      <w:lvlText w:val="%1.%2."/>
      <w:lvlJc w:val="left"/>
      <w:pPr>
        <w:ind w:left="792" w:hanging="432"/>
      </w:pPr>
      <w:rPr>
        <w:color w:val="404D5E"/>
      </w:rPr>
    </w:lvl>
    <w:lvl w:ilvl="2">
      <w:start w:val="1"/>
      <w:numFmt w:val="decimal"/>
      <w:lvlText w:val="%1.%2.%3."/>
      <w:lvlJc w:val="left"/>
      <w:pPr>
        <w:ind w:left="1224" w:hanging="504"/>
      </w:pPr>
      <w:rPr>
        <w:b/>
        <w:color w:val="404D5E"/>
        <w:sz w:val="22"/>
        <w:szCs w:val="22"/>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059651A"/>
    <w:multiLevelType w:val="hybridMultilevel"/>
    <w:tmpl w:val="D196EFD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0F40B6C"/>
    <w:multiLevelType w:val="multilevel"/>
    <w:tmpl w:val="B67E99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45EA60C0"/>
    <w:multiLevelType w:val="hybridMultilevel"/>
    <w:tmpl w:val="CF30F6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62D6608"/>
    <w:multiLevelType w:val="hybridMultilevel"/>
    <w:tmpl w:val="1C208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8922B1"/>
    <w:multiLevelType w:val="multilevel"/>
    <w:tmpl w:val="2FB21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8D71E05"/>
    <w:multiLevelType w:val="hybridMultilevel"/>
    <w:tmpl w:val="0A02521E"/>
    <w:lvl w:ilvl="0" w:tplc="04130013">
      <w:start w:val="1"/>
      <w:numFmt w:val="upperRoman"/>
      <w:lvlText w:val="%1."/>
      <w:lvlJc w:val="righ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DBB5405"/>
    <w:multiLevelType w:val="hybridMultilevel"/>
    <w:tmpl w:val="50E6EC48"/>
    <w:lvl w:ilvl="0" w:tplc="F71233DE">
      <w:start w:val="3"/>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FB40532"/>
    <w:multiLevelType w:val="multilevel"/>
    <w:tmpl w:val="E1E46E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1770EC5"/>
    <w:multiLevelType w:val="hybridMultilevel"/>
    <w:tmpl w:val="8C26F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1CD7405"/>
    <w:multiLevelType w:val="multilevel"/>
    <w:tmpl w:val="863405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5904AE1"/>
    <w:multiLevelType w:val="hybridMultilevel"/>
    <w:tmpl w:val="AB102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3509B3"/>
    <w:multiLevelType w:val="multilevel"/>
    <w:tmpl w:val="ABFC4E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78B2732"/>
    <w:multiLevelType w:val="hybridMultilevel"/>
    <w:tmpl w:val="6B727606"/>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58EF23AF"/>
    <w:multiLevelType w:val="hybridMultilevel"/>
    <w:tmpl w:val="3F762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4F4B3A"/>
    <w:multiLevelType w:val="hybridMultilevel"/>
    <w:tmpl w:val="ECD653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0A53E9"/>
    <w:multiLevelType w:val="multilevel"/>
    <w:tmpl w:val="B9D23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38A01C3"/>
    <w:multiLevelType w:val="hybridMultilevel"/>
    <w:tmpl w:val="95623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C01186"/>
    <w:multiLevelType w:val="hybridMultilevel"/>
    <w:tmpl w:val="01D81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4240F0D"/>
    <w:multiLevelType w:val="multilevel"/>
    <w:tmpl w:val="4476EA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4DD4020"/>
    <w:multiLevelType w:val="hybridMultilevel"/>
    <w:tmpl w:val="A1328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6CC7DA3"/>
    <w:multiLevelType w:val="hybridMultilevel"/>
    <w:tmpl w:val="CDA85648"/>
    <w:lvl w:ilvl="0" w:tplc="862A92D6">
      <w:start w:val="2"/>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9" w15:restartNumberingAfterBreak="0">
    <w:nsid w:val="6D291B1F"/>
    <w:multiLevelType w:val="multilevel"/>
    <w:tmpl w:val="61AE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952A40"/>
    <w:multiLevelType w:val="hybridMultilevel"/>
    <w:tmpl w:val="7594402C"/>
    <w:lvl w:ilvl="0" w:tplc="0809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25E585C"/>
    <w:multiLevelType w:val="hybridMultilevel"/>
    <w:tmpl w:val="1F7C2676"/>
    <w:lvl w:ilvl="0" w:tplc="08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51F028F"/>
    <w:multiLevelType w:val="multilevel"/>
    <w:tmpl w:val="94BA1B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C274806"/>
    <w:multiLevelType w:val="hybridMultilevel"/>
    <w:tmpl w:val="96EECF7E"/>
    <w:lvl w:ilvl="0" w:tplc="04130013">
      <w:start w:val="1"/>
      <w:numFmt w:val="upperRoman"/>
      <w:lvlText w:val="%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7DBB4A82"/>
    <w:multiLevelType w:val="hybridMultilevel"/>
    <w:tmpl w:val="5F22E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5404476">
    <w:abstractNumId w:val="27"/>
  </w:num>
  <w:num w:numId="2" w16cid:durableId="1617566877">
    <w:abstractNumId w:val="29"/>
  </w:num>
  <w:num w:numId="3" w16cid:durableId="1493526743">
    <w:abstractNumId w:val="22"/>
  </w:num>
  <w:num w:numId="4" w16cid:durableId="1780029059">
    <w:abstractNumId w:val="36"/>
  </w:num>
  <w:num w:numId="5" w16cid:durableId="338626845">
    <w:abstractNumId w:val="14"/>
  </w:num>
  <w:num w:numId="6" w16cid:durableId="1774742673">
    <w:abstractNumId w:val="4"/>
  </w:num>
  <w:num w:numId="7" w16cid:durableId="1413089871">
    <w:abstractNumId w:val="25"/>
  </w:num>
  <w:num w:numId="8" w16cid:durableId="409233441">
    <w:abstractNumId w:val="42"/>
  </w:num>
  <w:num w:numId="9" w16cid:durableId="1735618223">
    <w:abstractNumId w:val="17"/>
  </w:num>
  <w:num w:numId="10" w16cid:durableId="203063267">
    <w:abstractNumId w:val="19"/>
  </w:num>
  <w:num w:numId="11" w16cid:durableId="484128979">
    <w:abstractNumId w:val="33"/>
  </w:num>
  <w:num w:numId="12" w16cid:durableId="1001852333">
    <w:abstractNumId w:val="0"/>
  </w:num>
  <w:num w:numId="13" w16cid:durableId="150829948">
    <w:abstractNumId w:val="9"/>
  </w:num>
  <w:num w:numId="14" w16cid:durableId="2047749357">
    <w:abstractNumId w:val="21"/>
  </w:num>
  <w:num w:numId="15" w16cid:durableId="300308082">
    <w:abstractNumId w:val="12"/>
  </w:num>
  <w:num w:numId="16" w16cid:durableId="1075935107">
    <w:abstractNumId w:val="7"/>
  </w:num>
  <w:num w:numId="17" w16cid:durableId="1321151478">
    <w:abstractNumId w:val="32"/>
  </w:num>
  <w:num w:numId="18" w16cid:durableId="1055007385">
    <w:abstractNumId w:val="13"/>
  </w:num>
  <w:num w:numId="19" w16cid:durableId="1351838896">
    <w:abstractNumId w:val="17"/>
  </w:num>
  <w:num w:numId="20" w16cid:durableId="1116948021">
    <w:abstractNumId w:val="17"/>
  </w:num>
  <w:num w:numId="21" w16cid:durableId="1311978267">
    <w:abstractNumId w:val="17"/>
  </w:num>
  <w:num w:numId="22" w16cid:durableId="2133746567">
    <w:abstractNumId w:val="17"/>
  </w:num>
  <w:num w:numId="23" w16cid:durableId="1910455031">
    <w:abstractNumId w:val="17"/>
  </w:num>
  <w:num w:numId="24" w16cid:durableId="1337154105">
    <w:abstractNumId w:val="17"/>
  </w:num>
  <w:num w:numId="25" w16cid:durableId="89084646">
    <w:abstractNumId w:val="17"/>
  </w:num>
  <w:num w:numId="26" w16cid:durableId="1609316290">
    <w:abstractNumId w:val="17"/>
  </w:num>
  <w:num w:numId="27" w16cid:durableId="1836454329">
    <w:abstractNumId w:val="10"/>
  </w:num>
  <w:num w:numId="28" w16cid:durableId="68773980">
    <w:abstractNumId w:val="3"/>
  </w:num>
  <w:num w:numId="29" w16cid:durableId="1937246051">
    <w:abstractNumId w:val="20"/>
  </w:num>
  <w:num w:numId="30" w16cid:durableId="1247879934">
    <w:abstractNumId w:val="23"/>
  </w:num>
  <w:num w:numId="31" w16cid:durableId="1721519404">
    <w:abstractNumId w:val="43"/>
  </w:num>
  <w:num w:numId="32" w16cid:durableId="489685316">
    <w:abstractNumId w:val="24"/>
  </w:num>
  <w:num w:numId="33" w16cid:durableId="185599354">
    <w:abstractNumId w:val="18"/>
  </w:num>
  <w:num w:numId="34" w16cid:durableId="95908161">
    <w:abstractNumId w:val="41"/>
  </w:num>
  <w:num w:numId="35" w16cid:durableId="510266368">
    <w:abstractNumId w:val="38"/>
  </w:num>
  <w:num w:numId="36" w16cid:durableId="1512380255">
    <w:abstractNumId w:val="1"/>
  </w:num>
  <w:num w:numId="37" w16cid:durableId="720984729">
    <w:abstractNumId w:val="11"/>
  </w:num>
  <w:num w:numId="38" w16cid:durableId="516430490">
    <w:abstractNumId w:val="40"/>
  </w:num>
  <w:num w:numId="39" w16cid:durableId="213810401">
    <w:abstractNumId w:val="30"/>
  </w:num>
  <w:num w:numId="40" w16cid:durableId="511143355">
    <w:abstractNumId w:val="37"/>
  </w:num>
  <w:num w:numId="41" w16cid:durableId="100997566">
    <w:abstractNumId w:val="34"/>
  </w:num>
  <w:num w:numId="42" w16cid:durableId="1149443552">
    <w:abstractNumId w:val="35"/>
  </w:num>
  <w:num w:numId="43" w16cid:durableId="449860819">
    <w:abstractNumId w:val="26"/>
  </w:num>
  <w:num w:numId="44" w16cid:durableId="1173304461">
    <w:abstractNumId w:val="31"/>
  </w:num>
  <w:num w:numId="45" w16cid:durableId="1630435850">
    <w:abstractNumId w:val="5"/>
  </w:num>
  <w:num w:numId="46" w16cid:durableId="1132751088">
    <w:abstractNumId w:val="44"/>
  </w:num>
  <w:num w:numId="47" w16cid:durableId="291130902">
    <w:abstractNumId w:val="6"/>
  </w:num>
  <w:num w:numId="48" w16cid:durableId="884289844">
    <w:abstractNumId w:val="39"/>
  </w:num>
  <w:num w:numId="49" w16cid:durableId="1013671">
    <w:abstractNumId w:val="15"/>
  </w:num>
  <w:num w:numId="50" w16cid:durableId="620920150">
    <w:abstractNumId w:val="28"/>
  </w:num>
  <w:num w:numId="51" w16cid:durableId="1321077127">
    <w:abstractNumId w:val="8"/>
  </w:num>
  <w:num w:numId="52" w16cid:durableId="1649699481">
    <w:abstractNumId w:val="16"/>
  </w:num>
  <w:num w:numId="53" w16cid:durableId="3329235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activeWritingStyle w:appName="MSWord" w:lang="es-ES" w:vendorID="64" w:dllVersion="6" w:nlCheck="1" w:checkStyle="0"/>
  <w:activeWritingStyle w:appName="MSWord" w:lang="en-GB" w:vendorID="64" w:dllVersion="6" w:nlCheck="1" w:checkStyle="1"/>
  <w:activeWritingStyle w:appName="MSWord" w:lang="en-GB" w:vendorID="64" w:dllVersion="0" w:nlCheck="1" w:checkStyle="0"/>
  <w:activeWritingStyle w:appName="MSWord" w:lang="nl-NL" w:vendorID="64" w:dllVersion="0" w:nlCheck="1" w:checkStyle="0"/>
  <w:activeWritingStyle w:appName="MSWord" w:lang="en-US" w:vendorID="64" w:dllVersion="0" w:nlCheck="1" w:checkStyle="0"/>
  <w:activeWritingStyle w:appName="MSWord" w:lang="es-ES" w:vendorID="64" w:dllVersion="0" w:nlCheck="1" w:checkStyle="0"/>
  <w:activeWritingStyle w:appName="MSWord" w:lang="en-GB"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de-DE" w:vendorID="64" w:dllVersion="6" w:nlCheck="1" w:checkStyle="0"/>
  <w:activeWritingStyle w:appName="MSWord" w:lang="de-DE" w:vendorID="64" w:dllVersion="0" w:nlCheck="1" w:checkStyle="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AF7"/>
    <w:rsid w:val="00017C9E"/>
    <w:rsid w:val="00021200"/>
    <w:rsid w:val="00023B08"/>
    <w:rsid w:val="000324C8"/>
    <w:rsid w:val="00035389"/>
    <w:rsid w:val="0004351D"/>
    <w:rsid w:val="00054405"/>
    <w:rsid w:val="00055590"/>
    <w:rsid w:val="00062629"/>
    <w:rsid w:val="00082739"/>
    <w:rsid w:val="00082DAC"/>
    <w:rsid w:val="00083247"/>
    <w:rsid w:val="00085C45"/>
    <w:rsid w:val="00086D94"/>
    <w:rsid w:val="00086E84"/>
    <w:rsid w:val="00095237"/>
    <w:rsid w:val="00096501"/>
    <w:rsid w:val="00096EF7"/>
    <w:rsid w:val="000A0256"/>
    <w:rsid w:val="000A5241"/>
    <w:rsid w:val="000C6DF1"/>
    <w:rsid w:val="000D2DB1"/>
    <w:rsid w:val="000E4964"/>
    <w:rsid w:val="000E50CA"/>
    <w:rsid w:val="000E55DE"/>
    <w:rsid w:val="00102520"/>
    <w:rsid w:val="00105B46"/>
    <w:rsid w:val="00107E7D"/>
    <w:rsid w:val="001202DA"/>
    <w:rsid w:val="00122463"/>
    <w:rsid w:val="00125A83"/>
    <w:rsid w:val="0012759F"/>
    <w:rsid w:val="001328B9"/>
    <w:rsid w:val="0014556C"/>
    <w:rsid w:val="001463B1"/>
    <w:rsid w:val="00151008"/>
    <w:rsid w:val="00154887"/>
    <w:rsid w:val="001627F0"/>
    <w:rsid w:val="001777A9"/>
    <w:rsid w:val="0018583D"/>
    <w:rsid w:val="00191C32"/>
    <w:rsid w:val="00194EB9"/>
    <w:rsid w:val="0019746E"/>
    <w:rsid w:val="001A0C56"/>
    <w:rsid w:val="001B0360"/>
    <w:rsid w:val="001C452A"/>
    <w:rsid w:val="001C79F5"/>
    <w:rsid w:val="001D4CF1"/>
    <w:rsid w:val="001E5944"/>
    <w:rsid w:val="001F09AD"/>
    <w:rsid w:val="001F0C80"/>
    <w:rsid w:val="002042E2"/>
    <w:rsid w:val="00204D8C"/>
    <w:rsid w:val="00213E7B"/>
    <w:rsid w:val="0022795C"/>
    <w:rsid w:val="00231FD0"/>
    <w:rsid w:val="00233A00"/>
    <w:rsid w:val="00250C4B"/>
    <w:rsid w:val="00255794"/>
    <w:rsid w:val="00256432"/>
    <w:rsid w:val="002567A7"/>
    <w:rsid w:val="00256858"/>
    <w:rsid w:val="00274AD8"/>
    <w:rsid w:val="00277573"/>
    <w:rsid w:val="00281F52"/>
    <w:rsid w:val="00284822"/>
    <w:rsid w:val="00292B63"/>
    <w:rsid w:val="002B167F"/>
    <w:rsid w:val="002B49EB"/>
    <w:rsid w:val="002C4300"/>
    <w:rsid w:val="002D28EA"/>
    <w:rsid w:val="002E2898"/>
    <w:rsid w:val="00300E2A"/>
    <w:rsid w:val="0030699C"/>
    <w:rsid w:val="00310E23"/>
    <w:rsid w:val="00313261"/>
    <w:rsid w:val="00322045"/>
    <w:rsid w:val="003251D4"/>
    <w:rsid w:val="00330AF5"/>
    <w:rsid w:val="00340FC9"/>
    <w:rsid w:val="00343271"/>
    <w:rsid w:val="00370D36"/>
    <w:rsid w:val="00374327"/>
    <w:rsid w:val="003752F0"/>
    <w:rsid w:val="00380DEF"/>
    <w:rsid w:val="0038525B"/>
    <w:rsid w:val="00386306"/>
    <w:rsid w:val="0039075B"/>
    <w:rsid w:val="00391381"/>
    <w:rsid w:val="00391890"/>
    <w:rsid w:val="003A119F"/>
    <w:rsid w:val="003A4D11"/>
    <w:rsid w:val="003B1C45"/>
    <w:rsid w:val="003B2E6D"/>
    <w:rsid w:val="003B5293"/>
    <w:rsid w:val="003C0C88"/>
    <w:rsid w:val="003C729C"/>
    <w:rsid w:val="003C72AF"/>
    <w:rsid w:val="003D7173"/>
    <w:rsid w:val="003E2FB2"/>
    <w:rsid w:val="00402451"/>
    <w:rsid w:val="004050E7"/>
    <w:rsid w:val="004122CE"/>
    <w:rsid w:val="00412459"/>
    <w:rsid w:val="0041334B"/>
    <w:rsid w:val="00414E43"/>
    <w:rsid w:val="00434339"/>
    <w:rsid w:val="00434365"/>
    <w:rsid w:val="00437B6C"/>
    <w:rsid w:val="00442E28"/>
    <w:rsid w:val="0045337C"/>
    <w:rsid w:val="00463CDC"/>
    <w:rsid w:val="00471DE4"/>
    <w:rsid w:val="00482E66"/>
    <w:rsid w:val="00484484"/>
    <w:rsid w:val="00492041"/>
    <w:rsid w:val="004A2111"/>
    <w:rsid w:val="004A3F71"/>
    <w:rsid w:val="004A644C"/>
    <w:rsid w:val="004C47AF"/>
    <w:rsid w:val="004C535E"/>
    <w:rsid w:val="004C7CC6"/>
    <w:rsid w:val="004D455C"/>
    <w:rsid w:val="004E3066"/>
    <w:rsid w:val="004E5FFD"/>
    <w:rsid w:val="004F590B"/>
    <w:rsid w:val="00501E2F"/>
    <w:rsid w:val="005103F2"/>
    <w:rsid w:val="00513F86"/>
    <w:rsid w:val="00514BA5"/>
    <w:rsid w:val="005166E4"/>
    <w:rsid w:val="005266A8"/>
    <w:rsid w:val="00536797"/>
    <w:rsid w:val="00554835"/>
    <w:rsid w:val="0056771D"/>
    <w:rsid w:val="0058612E"/>
    <w:rsid w:val="005924C4"/>
    <w:rsid w:val="005A59C3"/>
    <w:rsid w:val="005B1F2C"/>
    <w:rsid w:val="005D3384"/>
    <w:rsid w:val="005E1025"/>
    <w:rsid w:val="005E287A"/>
    <w:rsid w:val="005E2D8A"/>
    <w:rsid w:val="005E5951"/>
    <w:rsid w:val="006021BA"/>
    <w:rsid w:val="00610B97"/>
    <w:rsid w:val="00620DFF"/>
    <w:rsid w:val="006275F9"/>
    <w:rsid w:val="0063229D"/>
    <w:rsid w:val="00646AF7"/>
    <w:rsid w:val="00651AB7"/>
    <w:rsid w:val="006524BC"/>
    <w:rsid w:val="006535FC"/>
    <w:rsid w:val="006634AF"/>
    <w:rsid w:val="006829FC"/>
    <w:rsid w:val="006A2D69"/>
    <w:rsid w:val="006A5F41"/>
    <w:rsid w:val="006A6C35"/>
    <w:rsid w:val="006B01DE"/>
    <w:rsid w:val="006C6F49"/>
    <w:rsid w:val="006D05D8"/>
    <w:rsid w:val="006D1930"/>
    <w:rsid w:val="006D4E2F"/>
    <w:rsid w:val="006D6D19"/>
    <w:rsid w:val="006D6FFD"/>
    <w:rsid w:val="006E4D26"/>
    <w:rsid w:val="006F13D1"/>
    <w:rsid w:val="006F3634"/>
    <w:rsid w:val="006F3681"/>
    <w:rsid w:val="006F7324"/>
    <w:rsid w:val="0071631D"/>
    <w:rsid w:val="00721891"/>
    <w:rsid w:val="007259F3"/>
    <w:rsid w:val="00726A73"/>
    <w:rsid w:val="0073767A"/>
    <w:rsid w:val="00756CDF"/>
    <w:rsid w:val="00761762"/>
    <w:rsid w:val="00765ECC"/>
    <w:rsid w:val="007748B8"/>
    <w:rsid w:val="00782F04"/>
    <w:rsid w:val="00783F3E"/>
    <w:rsid w:val="007908CD"/>
    <w:rsid w:val="0079413D"/>
    <w:rsid w:val="00797197"/>
    <w:rsid w:val="007A243F"/>
    <w:rsid w:val="007A511B"/>
    <w:rsid w:val="007C0D75"/>
    <w:rsid w:val="007D2C5A"/>
    <w:rsid w:val="007E1C18"/>
    <w:rsid w:val="007E32F1"/>
    <w:rsid w:val="007E453F"/>
    <w:rsid w:val="007F20C3"/>
    <w:rsid w:val="0080383F"/>
    <w:rsid w:val="00841881"/>
    <w:rsid w:val="008449D1"/>
    <w:rsid w:val="008638B9"/>
    <w:rsid w:val="00883872"/>
    <w:rsid w:val="008D2848"/>
    <w:rsid w:val="008E2D4E"/>
    <w:rsid w:val="009100D6"/>
    <w:rsid w:val="009163D8"/>
    <w:rsid w:val="00916DFB"/>
    <w:rsid w:val="009175EF"/>
    <w:rsid w:val="009226E6"/>
    <w:rsid w:val="00957719"/>
    <w:rsid w:val="00965F7F"/>
    <w:rsid w:val="009667A2"/>
    <w:rsid w:val="00966E4E"/>
    <w:rsid w:val="009742F1"/>
    <w:rsid w:val="009955B8"/>
    <w:rsid w:val="009C0DE2"/>
    <w:rsid w:val="009C2693"/>
    <w:rsid w:val="009D0298"/>
    <w:rsid w:val="009E47AE"/>
    <w:rsid w:val="009E7525"/>
    <w:rsid w:val="00A00939"/>
    <w:rsid w:val="00A06C8C"/>
    <w:rsid w:val="00A06F1F"/>
    <w:rsid w:val="00A11541"/>
    <w:rsid w:val="00A17A39"/>
    <w:rsid w:val="00A40323"/>
    <w:rsid w:val="00A7038B"/>
    <w:rsid w:val="00A71DE5"/>
    <w:rsid w:val="00A761FF"/>
    <w:rsid w:val="00A937A0"/>
    <w:rsid w:val="00AA0E92"/>
    <w:rsid w:val="00AA317B"/>
    <w:rsid w:val="00AA7E50"/>
    <w:rsid w:val="00AB4C55"/>
    <w:rsid w:val="00AB5525"/>
    <w:rsid w:val="00AB71F8"/>
    <w:rsid w:val="00AC00D5"/>
    <w:rsid w:val="00AC2BF4"/>
    <w:rsid w:val="00AC2D05"/>
    <w:rsid w:val="00AF0DF1"/>
    <w:rsid w:val="00AF7331"/>
    <w:rsid w:val="00B2039E"/>
    <w:rsid w:val="00B24F47"/>
    <w:rsid w:val="00B33651"/>
    <w:rsid w:val="00B40FB6"/>
    <w:rsid w:val="00B427AC"/>
    <w:rsid w:val="00B501FE"/>
    <w:rsid w:val="00B50961"/>
    <w:rsid w:val="00B5657F"/>
    <w:rsid w:val="00B60019"/>
    <w:rsid w:val="00B63DE0"/>
    <w:rsid w:val="00B7468D"/>
    <w:rsid w:val="00B8765B"/>
    <w:rsid w:val="00BB0C9E"/>
    <w:rsid w:val="00BB2F22"/>
    <w:rsid w:val="00BC20E3"/>
    <w:rsid w:val="00BC6095"/>
    <w:rsid w:val="00BE23B2"/>
    <w:rsid w:val="00BE3B62"/>
    <w:rsid w:val="00BE7A21"/>
    <w:rsid w:val="00C01D1A"/>
    <w:rsid w:val="00C067B5"/>
    <w:rsid w:val="00C075AC"/>
    <w:rsid w:val="00C1431D"/>
    <w:rsid w:val="00C16536"/>
    <w:rsid w:val="00C255D9"/>
    <w:rsid w:val="00C549DF"/>
    <w:rsid w:val="00C65B88"/>
    <w:rsid w:val="00C700B6"/>
    <w:rsid w:val="00C82DF3"/>
    <w:rsid w:val="00C8487C"/>
    <w:rsid w:val="00C91458"/>
    <w:rsid w:val="00CB0504"/>
    <w:rsid w:val="00CD4B43"/>
    <w:rsid w:val="00CD5035"/>
    <w:rsid w:val="00CE1A16"/>
    <w:rsid w:val="00CE5C8B"/>
    <w:rsid w:val="00CE7C6E"/>
    <w:rsid w:val="00CF0290"/>
    <w:rsid w:val="00CF277A"/>
    <w:rsid w:val="00CF2DBC"/>
    <w:rsid w:val="00CF6A3D"/>
    <w:rsid w:val="00D06FCD"/>
    <w:rsid w:val="00D077CB"/>
    <w:rsid w:val="00D07D68"/>
    <w:rsid w:val="00D10987"/>
    <w:rsid w:val="00D154CE"/>
    <w:rsid w:val="00D16201"/>
    <w:rsid w:val="00D20910"/>
    <w:rsid w:val="00D5458C"/>
    <w:rsid w:val="00D74CC6"/>
    <w:rsid w:val="00D85E42"/>
    <w:rsid w:val="00D90A58"/>
    <w:rsid w:val="00DA463F"/>
    <w:rsid w:val="00DA76D5"/>
    <w:rsid w:val="00DB2F60"/>
    <w:rsid w:val="00DB517E"/>
    <w:rsid w:val="00DC0032"/>
    <w:rsid w:val="00DD2D6D"/>
    <w:rsid w:val="00DF15D7"/>
    <w:rsid w:val="00E04C0C"/>
    <w:rsid w:val="00E062A1"/>
    <w:rsid w:val="00E1028B"/>
    <w:rsid w:val="00E2226A"/>
    <w:rsid w:val="00E271E0"/>
    <w:rsid w:val="00E3208F"/>
    <w:rsid w:val="00E374DD"/>
    <w:rsid w:val="00E40D02"/>
    <w:rsid w:val="00E45F00"/>
    <w:rsid w:val="00E6450E"/>
    <w:rsid w:val="00E64A59"/>
    <w:rsid w:val="00E761EE"/>
    <w:rsid w:val="00E92C69"/>
    <w:rsid w:val="00E965AE"/>
    <w:rsid w:val="00EC0A2F"/>
    <w:rsid w:val="00ED0679"/>
    <w:rsid w:val="00ED119E"/>
    <w:rsid w:val="00ED3CE6"/>
    <w:rsid w:val="00ED4326"/>
    <w:rsid w:val="00ED52E8"/>
    <w:rsid w:val="00EE1E9C"/>
    <w:rsid w:val="00EE4550"/>
    <w:rsid w:val="00EF29B2"/>
    <w:rsid w:val="00EF3AF4"/>
    <w:rsid w:val="00F03632"/>
    <w:rsid w:val="00F10DBF"/>
    <w:rsid w:val="00F177E2"/>
    <w:rsid w:val="00F27EB9"/>
    <w:rsid w:val="00F62ADE"/>
    <w:rsid w:val="00F6771C"/>
    <w:rsid w:val="00F76901"/>
    <w:rsid w:val="00F83128"/>
    <w:rsid w:val="00F83328"/>
    <w:rsid w:val="00FA0686"/>
    <w:rsid w:val="00FA0AE8"/>
    <w:rsid w:val="00FA7CFC"/>
    <w:rsid w:val="00FE61A9"/>
    <w:rsid w:val="00FF31CD"/>
    <w:rsid w:val="6C2323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082881"/>
  <w15:docId w15:val="{76C11067-4C26-4944-99D8-B00F4F93E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GB" w:eastAsia="en-GB"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E9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C535E"/>
    <w:pPr>
      <w:numPr>
        <w:numId w:val="9"/>
      </w:numPr>
      <w:spacing w:before="240" w:after="240"/>
      <w:jc w:val="both"/>
      <w:outlineLvl w:val="0"/>
    </w:pPr>
    <w:rPr>
      <w:rFonts w:eastAsia="Century Gothic" w:cs="Century Gothic"/>
      <w:b/>
      <w:szCs w:val="28"/>
    </w:rPr>
  </w:style>
  <w:style w:type="paragraph" w:styleId="Heading2">
    <w:name w:val="heading 2"/>
    <w:basedOn w:val="Normal"/>
    <w:next w:val="Normal"/>
    <w:uiPriority w:val="9"/>
    <w:unhideWhenUsed/>
    <w:qFormat/>
    <w:rsid w:val="00D06FCD"/>
    <w:pPr>
      <w:spacing w:before="120" w:after="120"/>
      <w:outlineLvl w:val="1"/>
    </w:pPr>
    <w:rPr>
      <w:rFonts w:eastAsia="Century Gothic" w:cs="Century Gothic"/>
      <w:b/>
      <w:szCs w:val="22"/>
    </w:rPr>
  </w:style>
  <w:style w:type="paragraph" w:styleId="Heading3">
    <w:name w:val="heading 3"/>
    <w:basedOn w:val="Normal"/>
    <w:next w:val="Normal"/>
    <w:uiPriority w:val="9"/>
    <w:unhideWhenUsed/>
    <w:qFormat/>
    <w:pPr>
      <w:ind w:left="1224" w:hanging="504"/>
      <w:jc w:val="both"/>
      <w:outlineLvl w:val="2"/>
    </w:pPr>
    <w:rPr>
      <w:rFonts w:ascii="Century Gothic" w:eastAsia="Century Gothic" w:hAnsi="Century Gothic" w:cs="Century Gothic"/>
      <w:b/>
      <w:sz w:val="22"/>
      <w:szCs w:val="22"/>
    </w:rPr>
  </w:style>
  <w:style w:type="paragraph" w:styleId="Heading4">
    <w:name w:val="heading 4"/>
    <w:basedOn w:val="Normal"/>
    <w:next w:val="Normal"/>
    <w:uiPriority w:val="9"/>
    <w:semiHidden/>
    <w:unhideWhenUsed/>
    <w:qFormat/>
    <w:pPr>
      <w:ind w:left="1843" w:hanging="763"/>
      <w:jc w:val="both"/>
      <w:outlineLvl w:val="3"/>
    </w:pPr>
    <w:rPr>
      <w:rFonts w:ascii="Century Gothic" w:eastAsia="Century Gothic" w:hAnsi="Century Gothic" w:cs="Century Gothic"/>
    </w:rPr>
  </w:style>
  <w:style w:type="paragraph" w:styleId="Heading5">
    <w:name w:val="heading 5"/>
    <w:basedOn w:val="Normal"/>
    <w:next w:val="Normal"/>
    <w:uiPriority w:val="9"/>
    <w:semiHidden/>
    <w:unhideWhenUsed/>
    <w:qFormat/>
    <w:pPr>
      <w:pBdr>
        <w:bottom w:val="single" w:sz="6" w:space="1" w:color="4472C4"/>
      </w:pBdr>
      <w:spacing w:before="200"/>
      <w:outlineLvl w:val="4"/>
    </w:pPr>
    <w:rPr>
      <w:smallCaps/>
      <w:color w:val="2F5496"/>
    </w:rPr>
  </w:style>
  <w:style w:type="paragraph" w:styleId="Heading6">
    <w:name w:val="heading 6"/>
    <w:basedOn w:val="Normal"/>
    <w:next w:val="Normal"/>
    <w:uiPriority w:val="9"/>
    <w:semiHidden/>
    <w:unhideWhenUsed/>
    <w:qFormat/>
    <w:pPr>
      <w:pBdr>
        <w:bottom w:val="dotted" w:sz="6" w:space="1" w:color="4472C4"/>
      </w:pBdr>
      <w:spacing w:before="200"/>
      <w:outlineLvl w:val="5"/>
    </w:pPr>
    <w:rPr>
      <w:smallCaps/>
      <w:color w:val="2F549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mallCaps/>
      <w:color w:val="4472C4"/>
      <w:sz w:val="52"/>
      <w:szCs w:val="52"/>
    </w:rPr>
  </w:style>
  <w:style w:type="paragraph" w:styleId="Subtitle">
    <w:name w:val="Subtitle"/>
    <w:basedOn w:val="Normal"/>
    <w:next w:val="Normal"/>
    <w:uiPriority w:val="11"/>
    <w:qFormat/>
    <w:pPr>
      <w:spacing w:after="500"/>
    </w:pPr>
    <w:rPr>
      <w:smallCaps/>
      <w:color w:val="595959"/>
      <w:sz w:val="21"/>
      <w:szCs w:val="21"/>
    </w:rPr>
  </w:style>
  <w:style w:type="table" w:customStyle="1" w:styleId="a">
    <w:basedOn w:val="TableNormal"/>
    <w:pPr>
      <w:spacing w:before="0" w:after="0" w:line="240" w:lineRule="auto"/>
    </w:pPr>
    <w:tblPr>
      <w:tblStyleRowBandSize w:val="1"/>
      <w:tblStyleColBandSize w:val="1"/>
    </w:tblPr>
  </w:style>
  <w:style w:type="table" w:customStyle="1" w:styleId="a0">
    <w:basedOn w:val="TableNormal"/>
    <w:pPr>
      <w:spacing w:before="0"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pPr>
      <w:spacing w:before="0" w:after="0" w:line="240" w:lineRule="auto"/>
    </w:pPr>
    <w:tblPr>
      <w:tblStyleRowBandSize w:val="1"/>
      <w:tblStyleColBandSize w:val="1"/>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spacing w:before="0" w:after="0" w:line="240" w:lineRule="auto"/>
    </w:pPr>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pPr>
      <w:spacing w:before="0" w:after="0" w:line="240" w:lineRule="auto"/>
    </w:pPr>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pPr>
      <w:spacing w:before="0" w:after="0" w:line="240" w:lineRule="auto"/>
    </w:pPr>
    <w:tblPr>
      <w:tblStyleRowBandSize w:val="1"/>
      <w:tblStyleColBandSize w:val="1"/>
    </w:tblPr>
  </w:style>
  <w:style w:type="table" w:customStyle="1" w:styleId="ae">
    <w:basedOn w:val="TableNormal"/>
    <w:pPr>
      <w:spacing w:before="0" w:after="0" w:line="240" w:lineRule="auto"/>
    </w:pPr>
    <w:tblPr>
      <w:tblStyleRowBandSize w:val="1"/>
      <w:tblStyleColBandSize w:val="1"/>
    </w:tblPr>
  </w:style>
  <w:style w:type="table" w:customStyle="1" w:styleId="af">
    <w:basedOn w:val="TableNormal"/>
    <w:pPr>
      <w:spacing w:before="0" w:after="0" w:line="240" w:lineRule="auto"/>
    </w:pPr>
    <w:tblPr>
      <w:tblStyleRowBandSize w:val="1"/>
      <w:tblStyleColBandSize w:val="1"/>
    </w:tblPr>
  </w:style>
  <w:style w:type="table" w:customStyle="1" w:styleId="af0">
    <w:basedOn w:val="TableNormal"/>
    <w:pPr>
      <w:spacing w:before="0" w:after="0" w:line="240" w:lineRule="auto"/>
    </w:pPr>
    <w:tblPr>
      <w:tblStyleRowBandSize w:val="1"/>
      <w:tblStyleColBandSize w:val="1"/>
    </w:tblPr>
  </w:style>
  <w:style w:type="table" w:customStyle="1" w:styleId="af1">
    <w:basedOn w:val="TableNormal"/>
    <w:pPr>
      <w:spacing w:before="0" w:after="0" w:line="240" w:lineRule="auto"/>
    </w:pPr>
    <w:tblPr>
      <w:tblStyleRowBandSize w:val="1"/>
      <w:tblStyleColBandSize w:val="1"/>
    </w:tblPr>
  </w:style>
  <w:style w:type="table" w:customStyle="1" w:styleId="af2">
    <w:basedOn w:val="TableNormal"/>
    <w:pPr>
      <w:spacing w:before="0" w:after="0" w:line="240" w:lineRule="auto"/>
    </w:pPr>
    <w:tblPr>
      <w:tblStyleRowBandSize w:val="1"/>
      <w:tblStyleColBandSize w:val="1"/>
    </w:tblPr>
  </w:style>
  <w:style w:type="table" w:styleId="TableGrid">
    <w:name w:val="Table Grid"/>
    <w:basedOn w:val="TableNormal"/>
    <w:uiPriority w:val="59"/>
    <w:rsid w:val="00B60019"/>
    <w:pPr>
      <w:spacing w:before="0" w:after="0" w:line="240" w:lineRule="auto"/>
    </w:pPr>
    <w:rPr>
      <w:rFonts w:asciiTheme="minorHAnsi" w:eastAsiaTheme="minorEastAsia"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F83328"/>
    <w:pPr>
      <w:tabs>
        <w:tab w:val="left" w:pos="400"/>
        <w:tab w:val="right" w:leader="dot" w:pos="8637"/>
      </w:tabs>
      <w:spacing w:before="120" w:after="120"/>
    </w:pPr>
    <w:rPr>
      <w:b/>
    </w:rPr>
  </w:style>
  <w:style w:type="paragraph" w:styleId="TOC2">
    <w:name w:val="toc 2"/>
    <w:basedOn w:val="Normal"/>
    <w:next w:val="Normal"/>
    <w:autoRedefine/>
    <w:uiPriority w:val="39"/>
    <w:unhideWhenUsed/>
    <w:rsid w:val="00F6771C"/>
    <w:pPr>
      <w:spacing w:after="100"/>
      <w:ind w:left="200"/>
    </w:pPr>
  </w:style>
  <w:style w:type="paragraph" w:styleId="TOC3">
    <w:name w:val="toc 3"/>
    <w:basedOn w:val="Normal"/>
    <w:next w:val="Normal"/>
    <w:autoRedefine/>
    <w:uiPriority w:val="39"/>
    <w:unhideWhenUsed/>
    <w:rsid w:val="00F6771C"/>
    <w:pPr>
      <w:spacing w:after="100"/>
      <w:ind w:left="400"/>
    </w:pPr>
  </w:style>
  <w:style w:type="character" w:styleId="Hyperlink">
    <w:name w:val="Hyperlink"/>
    <w:basedOn w:val="DefaultParagraphFont"/>
    <w:uiPriority w:val="99"/>
    <w:unhideWhenUsed/>
    <w:rsid w:val="00F6771C"/>
    <w:rPr>
      <w:color w:val="0000FF" w:themeColor="hyperlink"/>
      <w:u w:val="single"/>
    </w:rPr>
  </w:style>
  <w:style w:type="paragraph" w:styleId="TOCHeading">
    <w:name w:val="TOC Heading"/>
    <w:basedOn w:val="Heading1"/>
    <w:next w:val="Normal"/>
    <w:uiPriority w:val="39"/>
    <w:unhideWhenUsed/>
    <w:qFormat/>
    <w:rsid w:val="002042E2"/>
    <w:pPr>
      <w:keepNext/>
      <w:keepLines/>
      <w:numPr>
        <w:numId w:val="0"/>
      </w:numPr>
      <w:spacing w:line="259" w:lineRule="auto"/>
      <w:jc w:val="left"/>
      <w:outlineLvl w:val="9"/>
    </w:pPr>
    <w:rPr>
      <w:rFonts w:asciiTheme="majorHAnsi" w:eastAsiaTheme="majorEastAsia" w:hAnsiTheme="majorHAnsi" w:cstheme="majorBidi"/>
      <w:color w:val="365F91" w:themeColor="accent1" w:themeShade="BF"/>
      <w:sz w:val="32"/>
      <w:szCs w:val="32"/>
      <w:lang w:val="en-US" w:eastAsia="en-US"/>
    </w:rPr>
  </w:style>
  <w:style w:type="paragraph" w:styleId="Header">
    <w:name w:val="header"/>
    <w:basedOn w:val="Normal"/>
    <w:link w:val="HeaderChar"/>
    <w:uiPriority w:val="99"/>
    <w:unhideWhenUsed/>
    <w:rsid w:val="002042E2"/>
    <w:pPr>
      <w:tabs>
        <w:tab w:val="center" w:pos="4513"/>
        <w:tab w:val="right" w:pos="9026"/>
      </w:tabs>
    </w:pPr>
  </w:style>
  <w:style w:type="character" w:customStyle="1" w:styleId="HeaderChar">
    <w:name w:val="Header Char"/>
    <w:basedOn w:val="DefaultParagraphFont"/>
    <w:link w:val="Header"/>
    <w:uiPriority w:val="99"/>
    <w:rsid w:val="002042E2"/>
  </w:style>
  <w:style w:type="paragraph" w:styleId="Footer">
    <w:name w:val="footer"/>
    <w:basedOn w:val="Normal"/>
    <w:link w:val="FooterChar"/>
    <w:uiPriority w:val="99"/>
    <w:unhideWhenUsed/>
    <w:rsid w:val="002042E2"/>
    <w:pPr>
      <w:tabs>
        <w:tab w:val="center" w:pos="4513"/>
        <w:tab w:val="right" w:pos="9026"/>
      </w:tabs>
    </w:pPr>
  </w:style>
  <w:style w:type="character" w:customStyle="1" w:styleId="FooterChar">
    <w:name w:val="Footer Char"/>
    <w:basedOn w:val="DefaultParagraphFont"/>
    <w:link w:val="Footer"/>
    <w:uiPriority w:val="99"/>
    <w:rsid w:val="002042E2"/>
  </w:style>
  <w:style w:type="paragraph" w:styleId="ListParagraph">
    <w:name w:val="List Paragraph"/>
    <w:basedOn w:val="Normal"/>
    <w:link w:val="ListParagraphChar"/>
    <w:uiPriority w:val="34"/>
    <w:qFormat/>
    <w:rsid w:val="00BE3B62"/>
    <w:pPr>
      <w:ind w:left="720"/>
      <w:contextualSpacing/>
    </w:pPr>
  </w:style>
  <w:style w:type="paragraph" w:styleId="Caption">
    <w:name w:val="caption"/>
    <w:basedOn w:val="Normal"/>
    <w:next w:val="Normal"/>
    <w:uiPriority w:val="35"/>
    <w:unhideWhenUsed/>
    <w:qFormat/>
    <w:rsid w:val="00062629"/>
    <w:rPr>
      <w:i/>
      <w:iCs/>
      <w:color w:val="1F497D" w:themeColor="text2"/>
      <w:sz w:val="18"/>
      <w:szCs w:val="18"/>
    </w:rPr>
  </w:style>
  <w:style w:type="paragraph" w:styleId="TableofFigures">
    <w:name w:val="table of figures"/>
    <w:basedOn w:val="Normal"/>
    <w:next w:val="Normal"/>
    <w:uiPriority w:val="99"/>
    <w:unhideWhenUsed/>
    <w:rsid w:val="00C549DF"/>
    <w:rPr>
      <w:rFonts w:ascii="Century Gothic" w:hAnsi="Century Gothic"/>
    </w:rPr>
  </w:style>
  <w:style w:type="paragraph" w:styleId="BalloonText">
    <w:name w:val="Balloon Text"/>
    <w:basedOn w:val="Normal"/>
    <w:link w:val="BalloonTextChar"/>
    <w:uiPriority w:val="99"/>
    <w:semiHidden/>
    <w:unhideWhenUsed/>
    <w:rsid w:val="003C72A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2AF"/>
    <w:rPr>
      <w:rFonts w:ascii="Segoe UI" w:hAnsi="Segoe UI" w:cs="Segoe UI"/>
      <w:sz w:val="18"/>
      <w:szCs w:val="18"/>
    </w:rPr>
  </w:style>
  <w:style w:type="character" w:styleId="CommentReference">
    <w:name w:val="annotation reference"/>
    <w:basedOn w:val="DefaultParagraphFont"/>
    <w:uiPriority w:val="99"/>
    <w:semiHidden/>
    <w:unhideWhenUsed/>
    <w:rsid w:val="00DA463F"/>
    <w:rPr>
      <w:sz w:val="16"/>
      <w:szCs w:val="16"/>
    </w:rPr>
  </w:style>
  <w:style w:type="paragraph" w:styleId="CommentText">
    <w:name w:val="annotation text"/>
    <w:basedOn w:val="Normal"/>
    <w:link w:val="CommentTextChar"/>
    <w:uiPriority w:val="99"/>
    <w:semiHidden/>
    <w:unhideWhenUsed/>
    <w:rsid w:val="00DA463F"/>
  </w:style>
  <w:style w:type="character" w:customStyle="1" w:styleId="CommentTextChar">
    <w:name w:val="Comment Text Char"/>
    <w:basedOn w:val="DefaultParagraphFont"/>
    <w:link w:val="CommentText"/>
    <w:uiPriority w:val="99"/>
    <w:semiHidden/>
    <w:rsid w:val="00DA463F"/>
  </w:style>
  <w:style w:type="paragraph" w:styleId="CommentSubject">
    <w:name w:val="annotation subject"/>
    <w:basedOn w:val="CommentText"/>
    <w:next w:val="CommentText"/>
    <w:link w:val="CommentSubjectChar"/>
    <w:uiPriority w:val="99"/>
    <w:semiHidden/>
    <w:unhideWhenUsed/>
    <w:rsid w:val="00DA463F"/>
    <w:rPr>
      <w:b/>
      <w:bCs/>
    </w:rPr>
  </w:style>
  <w:style w:type="character" w:customStyle="1" w:styleId="CommentSubjectChar">
    <w:name w:val="Comment Subject Char"/>
    <w:basedOn w:val="CommentTextChar"/>
    <w:link w:val="CommentSubject"/>
    <w:uiPriority w:val="99"/>
    <w:semiHidden/>
    <w:rsid w:val="00DA463F"/>
    <w:rPr>
      <w:b/>
      <w:bCs/>
    </w:rPr>
  </w:style>
  <w:style w:type="paragraph" w:styleId="NoSpacing">
    <w:name w:val="No Spacing"/>
    <w:uiPriority w:val="1"/>
    <w:qFormat/>
    <w:rsid w:val="00F83328"/>
    <w:pPr>
      <w:spacing w:before="0" w:after="0" w:line="240" w:lineRule="auto"/>
    </w:pPr>
  </w:style>
  <w:style w:type="character" w:customStyle="1" w:styleId="UnresolvedMention1">
    <w:name w:val="Unresolved Mention1"/>
    <w:basedOn w:val="DefaultParagraphFont"/>
    <w:uiPriority w:val="99"/>
    <w:semiHidden/>
    <w:unhideWhenUsed/>
    <w:rsid w:val="00284822"/>
    <w:rPr>
      <w:color w:val="605E5C"/>
      <w:shd w:val="clear" w:color="auto" w:fill="E1DFDD"/>
    </w:rPr>
  </w:style>
  <w:style w:type="character" w:styleId="PageNumber">
    <w:name w:val="page number"/>
    <w:basedOn w:val="DefaultParagraphFont"/>
    <w:uiPriority w:val="99"/>
    <w:semiHidden/>
    <w:unhideWhenUsed/>
    <w:rsid w:val="00D20910"/>
  </w:style>
  <w:style w:type="paragraph" w:styleId="Revision">
    <w:name w:val="Revision"/>
    <w:hidden/>
    <w:uiPriority w:val="99"/>
    <w:semiHidden/>
    <w:rsid w:val="00414E43"/>
    <w:pPr>
      <w:spacing w:before="0" w:after="0" w:line="240" w:lineRule="auto"/>
    </w:pPr>
    <w:rPr>
      <w:sz w:val="24"/>
    </w:rPr>
  </w:style>
  <w:style w:type="paragraph" w:styleId="NormalWeb">
    <w:name w:val="Normal (Web)"/>
    <w:basedOn w:val="Normal"/>
    <w:uiPriority w:val="99"/>
    <w:unhideWhenUsed/>
    <w:rsid w:val="00EF29B2"/>
    <w:pPr>
      <w:spacing w:beforeAutospacing="1" w:after="100" w:afterAutospacing="1"/>
    </w:pPr>
  </w:style>
  <w:style w:type="character" w:styleId="FollowedHyperlink">
    <w:name w:val="FollowedHyperlink"/>
    <w:basedOn w:val="DefaultParagraphFont"/>
    <w:uiPriority w:val="99"/>
    <w:semiHidden/>
    <w:unhideWhenUsed/>
    <w:rsid w:val="00E965AE"/>
    <w:rPr>
      <w:color w:val="800080" w:themeColor="followedHyperlink"/>
      <w:u w:val="single"/>
    </w:rPr>
  </w:style>
  <w:style w:type="character" w:styleId="UnresolvedMention">
    <w:name w:val="Unresolved Mention"/>
    <w:basedOn w:val="DefaultParagraphFont"/>
    <w:uiPriority w:val="99"/>
    <w:semiHidden/>
    <w:unhideWhenUsed/>
    <w:rsid w:val="00D74CC6"/>
    <w:rPr>
      <w:color w:val="605E5C"/>
      <w:shd w:val="clear" w:color="auto" w:fill="E1DFDD"/>
    </w:rPr>
  </w:style>
  <w:style w:type="character" w:styleId="Strong">
    <w:name w:val="Strong"/>
    <w:basedOn w:val="DefaultParagraphFont"/>
    <w:uiPriority w:val="22"/>
    <w:qFormat/>
    <w:rsid w:val="00EE1E9C"/>
    <w:rPr>
      <w:b/>
      <w:bCs/>
    </w:rPr>
  </w:style>
  <w:style w:type="character" w:customStyle="1" w:styleId="Heading1Char">
    <w:name w:val="Heading 1 Char"/>
    <w:basedOn w:val="DefaultParagraphFont"/>
    <w:link w:val="Heading1"/>
    <w:uiPriority w:val="9"/>
    <w:rsid w:val="00322045"/>
    <w:rPr>
      <w:rFonts w:ascii="Times New Roman" w:eastAsia="Century Gothic" w:hAnsi="Times New Roman" w:cs="Century Gothic"/>
      <w:b/>
      <w:sz w:val="24"/>
      <w:szCs w:val="28"/>
    </w:rPr>
  </w:style>
  <w:style w:type="paragraph" w:customStyle="1" w:styleId="berschrift11">
    <w:name w:val="Überschrift 11"/>
    <w:basedOn w:val="Normal"/>
    <w:next w:val="Normal"/>
    <w:uiPriority w:val="9"/>
    <w:qFormat/>
    <w:rsid w:val="002B167F"/>
    <w:pPr>
      <w:spacing w:before="240" w:after="240"/>
      <w:ind w:left="360" w:hanging="360"/>
      <w:outlineLvl w:val="0"/>
    </w:pPr>
    <w:rPr>
      <w:rFonts w:ascii="Calibri" w:eastAsia="Century Gothic" w:hAnsi="Calibri" w:cs="Century Gothic"/>
      <w:b/>
      <w:color w:val="0D0D0D"/>
      <w:sz w:val="28"/>
      <w:szCs w:val="28"/>
      <w:u w:val="single"/>
      <w:lang w:val="it-IT"/>
    </w:rPr>
  </w:style>
  <w:style w:type="character" w:customStyle="1" w:styleId="apple-converted-space">
    <w:name w:val="apple-converted-space"/>
    <w:basedOn w:val="DefaultParagraphFont"/>
    <w:rsid w:val="002B167F"/>
  </w:style>
  <w:style w:type="character" w:customStyle="1" w:styleId="outlook-search-highlight">
    <w:name w:val="outlook-search-highlight"/>
    <w:basedOn w:val="DefaultParagraphFont"/>
    <w:rsid w:val="002B167F"/>
  </w:style>
  <w:style w:type="character" w:customStyle="1" w:styleId="ListParagraphChar">
    <w:name w:val="List Paragraph Char"/>
    <w:link w:val="ListParagraph"/>
    <w:uiPriority w:val="34"/>
    <w:locked/>
    <w:rsid w:val="002B167F"/>
    <w:rPr>
      <w:rFonts w:ascii="Times New Roman" w:eastAsia="Times New Roman" w:hAnsi="Times New Roman" w:cs="Times New Roman"/>
      <w:sz w:val="24"/>
      <w:szCs w:val="24"/>
    </w:rPr>
  </w:style>
  <w:style w:type="character" w:customStyle="1" w:styleId="break-words">
    <w:name w:val="break-words"/>
    <w:basedOn w:val="DefaultParagraphFont"/>
    <w:rsid w:val="00BE23B2"/>
  </w:style>
  <w:style w:type="paragraph" w:styleId="Bibliography">
    <w:name w:val="Bibliography"/>
    <w:basedOn w:val="Normal"/>
    <w:next w:val="Normal"/>
    <w:uiPriority w:val="37"/>
    <w:unhideWhenUsed/>
    <w:rsid w:val="00A06C8C"/>
    <w:pPr>
      <w:tabs>
        <w:tab w:val="left" w:pos="260"/>
      </w:tabs>
      <w:spacing w:after="240"/>
      <w:ind w:left="264" w:hanging="264"/>
    </w:pPr>
  </w:style>
  <w:style w:type="paragraph" w:customStyle="1" w:styleId="Style1">
    <w:name w:val="Style1"/>
    <w:basedOn w:val="Heading2"/>
    <w:qFormat/>
    <w:rsid w:val="00194EB9"/>
    <w:rPr>
      <w:rFonts w:asciiTheme="majorHAnsi" w:hAnsi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17256">
      <w:bodyDiv w:val="1"/>
      <w:marLeft w:val="0"/>
      <w:marRight w:val="0"/>
      <w:marTop w:val="0"/>
      <w:marBottom w:val="0"/>
      <w:divBdr>
        <w:top w:val="none" w:sz="0" w:space="0" w:color="auto"/>
        <w:left w:val="none" w:sz="0" w:space="0" w:color="auto"/>
        <w:bottom w:val="none" w:sz="0" w:space="0" w:color="auto"/>
        <w:right w:val="none" w:sz="0" w:space="0" w:color="auto"/>
      </w:divBdr>
    </w:div>
    <w:div w:id="115219705">
      <w:bodyDiv w:val="1"/>
      <w:marLeft w:val="0"/>
      <w:marRight w:val="0"/>
      <w:marTop w:val="0"/>
      <w:marBottom w:val="0"/>
      <w:divBdr>
        <w:top w:val="none" w:sz="0" w:space="0" w:color="auto"/>
        <w:left w:val="none" w:sz="0" w:space="0" w:color="auto"/>
        <w:bottom w:val="none" w:sz="0" w:space="0" w:color="auto"/>
        <w:right w:val="none" w:sz="0" w:space="0" w:color="auto"/>
      </w:divBdr>
    </w:div>
    <w:div w:id="291710247">
      <w:bodyDiv w:val="1"/>
      <w:marLeft w:val="0"/>
      <w:marRight w:val="0"/>
      <w:marTop w:val="0"/>
      <w:marBottom w:val="0"/>
      <w:divBdr>
        <w:top w:val="none" w:sz="0" w:space="0" w:color="auto"/>
        <w:left w:val="none" w:sz="0" w:space="0" w:color="auto"/>
        <w:bottom w:val="none" w:sz="0" w:space="0" w:color="auto"/>
        <w:right w:val="none" w:sz="0" w:space="0" w:color="auto"/>
      </w:divBdr>
    </w:div>
    <w:div w:id="450561544">
      <w:bodyDiv w:val="1"/>
      <w:marLeft w:val="0"/>
      <w:marRight w:val="0"/>
      <w:marTop w:val="0"/>
      <w:marBottom w:val="0"/>
      <w:divBdr>
        <w:top w:val="none" w:sz="0" w:space="0" w:color="auto"/>
        <w:left w:val="none" w:sz="0" w:space="0" w:color="auto"/>
        <w:bottom w:val="none" w:sz="0" w:space="0" w:color="auto"/>
        <w:right w:val="none" w:sz="0" w:space="0" w:color="auto"/>
      </w:divBdr>
    </w:div>
    <w:div w:id="1248341857">
      <w:bodyDiv w:val="1"/>
      <w:marLeft w:val="0"/>
      <w:marRight w:val="0"/>
      <w:marTop w:val="0"/>
      <w:marBottom w:val="0"/>
      <w:divBdr>
        <w:top w:val="none" w:sz="0" w:space="0" w:color="auto"/>
        <w:left w:val="none" w:sz="0" w:space="0" w:color="auto"/>
        <w:bottom w:val="none" w:sz="0" w:space="0" w:color="auto"/>
        <w:right w:val="none" w:sz="0" w:space="0" w:color="auto"/>
      </w:divBdr>
    </w:div>
    <w:div w:id="1325166562">
      <w:bodyDiv w:val="1"/>
      <w:marLeft w:val="0"/>
      <w:marRight w:val="0"/>
      <w:marTop w:val="0"/>
      <w:marBottom w:val="0"/>
      <w:divBdr>
        <w:top w:val="none" w:sz="0" w:space="0" w:color="auto"/>
        <w:left w:val="none" w:sz="0" w:space="0" w:color="auto"/>
        <w:bottom w:val="none" w:sz="0" w:space="0" w:color="auto"/>
        <w:right w:val="none" w:sz="0" w:space="0" w:color="auto"/>
      </w:divBdr>
    </w:div>
    <w:div w:id="1454515137">
      <w:bodyDiv w:val="1"/>
      <w:marLeft w:val="0"/>
      <w:marRight w:val="0"/>
      <w:marTop w:val="0"/>
      <w:marBottom w:val="0"/>
      <w:divBdr>
        <w:top w:val="none" w:sz="0" w:space="0" w:color="auto"/>
        <w:left w:val="none" w:sz="0" w:space="0" w:color="auto"/>
        <w:bottom w:val="none" w:sz="0" w:space="0" w:color="auto"/>
        <w:right w:val="none" w:sz="0" w:space="0" w:color="auto"/>
      </w:divBdr>
    </w:div>
    <w:div w:id="1790977043">
      <w:bodyDiv w:val="1"/>
      <w:marLeft w:val="0"/>
      <w:marRight w:val="0"/>
      <w:marTop w:val="0"/>
      <w:marBottom w:val="0"/>
      <w:divBdr>
        <w:top w:val="none" w:sz="0" w:space="0" w:color="auto"/>
        <w:left w:val="none" w:sz="0" w:space="0" w:color="auto"/>
        <w:bottom w:val="none" w:sz="0" w:space="0" w:color="auto"/>
        <w:right w:val="none" w:sz="0" w:space="0" w:color="auto"/>
      </w:divBdr>
    </w:div>
    <w:div w:id="1924994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emily.clark@roslin.ed.ac.uk" TargetMode="External"/><Relationship Id="rId18" Type="http://schemas.openxmlformats.org/officeDocument/2006/relationships/hyperlink" Target="https://eurofaang.eu/video/" TargetMode="External"/><Relationship Id="rId26" Type="http://schemas.openxmlformats.org/officeDocument/2006/relationships/hyperlink" Target="https://www.bric.ku.dk/core-facilities/high-content-crispr-screens-hccs/prices/" TargetMode="External"/><Relationship Id="rId21" Type="http://schemas.openxmlformats.org/officeDocument/2006/relationships/hyperlink" Target="https://www.bric.ku.dk/core-facilities/high-content-crispr-screens-hccs/" TargetMode="External"/><Relationship Id="rId34"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hyperlink" Target="https://www.bric.ku.dk/core-facilities/high-content-crispr-screens-hccs/" TargetMode="External"/><Relationship Id="rId33" Type="http://schemas.openxmlformats.org/officeDocument/2006/relationships/hyperlink" Target="https://www.ed.ac.uk/biology/research/facilities/edinburgh-genome-foundry"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www.igbmc.fr/en/plateforms-and-services/platforms/high-throughput-cell-screening" TargetMode="External"/><Relationship Id="rId29" Type="http://schemas.openxmlformats.org/officeDocument/2006/relationships/hyperlink" Target="https://ncats.nih.gov/research/research-activities/functional-genomics-lab"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igbmc.fr/en/plateforms-and-services/platforms/high-throughput-cell-screening" TargetMode="External"/><Relationship Id="rId32" Type="http://schemas.openxmlformats.org/officeDocument/2006/relationships/hyperlink" Target="https://www.age.mpg.de/crispr-screening"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www.age.mpg.de/crispr-screening" TargetMode="External"/><Relationship Id="rId28" Type="http://schemas.openxmlformats.org/officeDocument/2006/relationships/hyperlink" Target="https://www.bric.ku.dk/core-facilities/high-content-crispr-screens-hccs/instruments/"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eurofaang.eu/g2p-in-a-dish/" TargetMode="External"/><Relationship Id="rId31" Type="http://schemas.openxmlformats.org/officeDocument/2006/relationships/hyperlink" Target="https://www.ukri.org/opportunity/collaborate-with-the-functional-genomics-screening-laboratory/?utm_medium=email&amp;utm_source=govdeliver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eena.cartick@effab.info" TargetMode="External"/><Relationship Id="rId22" Type="http://schemas.openxmlformats.org/officeDocument/2006/relationships/hyperlink" Target="https://ncats.nih.gov/research/research-activities/functional-genomics-lab" TargetMode="External"/><Relationship Id="rId27" Type="http://schemas.openxmlformats.org/officeDocument/2006/relationships/image" Target="media/image6.png"/><Relationship Id="rId30" Type="http://schemas.openxmlformats.org/officeDocument/2006/relationships/hyperlink" Target="https://www.astrazeneca.com/media-centre/medical-releases/astrazeneca-establishes-new-world-class-functional-genomics-laboratory-with-medical-research-council-and-the-milner-therapeutics-institute-at-the-university-of-cambridge.html" TargetMode="External"/><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77341b-8014-4f42-af26-daef06256344">
      <Terms xmlns="http://schemas.microsoft.com/office/infopath/2007/PartnerControls"/>
    </lcf76f155ced4ddcb4097134ff3c332f>
    <TaxCatchAll xmlns="27361a49-e35b-4048-9c81-33e708129f0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00605CCC8764542A51D85401519BA58" ma:contentTypeVersion="18" ma:contentTypeDescription="Een nieuw document maken." ma:contentTypeScope="" ma:versionID="22f6c9aecc76e695a5eab310176d4788">
  <xsd:schema xmlns:xsd="http://www.w3.org/2001/XMLSchema" xmlns:xs="http://www.w3.org/2001/XMLSchema" xmlns:p="http://schemas.microsoft.com/office/2006/metadata/properties" xmlns:ns2="27361a49-e35b-4048-9c81-33e708129f0b" xmlns:ns3="f477341b-8014-4f42-af26-daef06256344" targetNamespace="http://schemas.microsoft.com/office/2006/metadata/properties" ma:root="true" ma:fieldsID="8a03561199590ad2e435578fd2472624" ns2:_="" ns3:_="">
    <xsd:import namespace="27361a49-e35b-4048-9c81-33e708129f0b"/>
    <xsd:import namespace="f477341b-8014-4f42-af26-daef06256344"/>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61a49-e35b-4048-9c81-33e708129f0b"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int-hash delen" ma:internalName="SharingHintHash" ma:readOnly="true">
      <xsd:simpleType>
        <xsd:restriction base="dms:Text"/>
      </xsd:simpleType>
    </xsd:element>
    <xsd:element name="SharedWithDetails" ma:index="10" nillable="true" ma:displayName="Gedeeld met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b93899-5b83-4498-afd9-00fd990b0d78}" ma:internalName="TaxCatchAll" ma:showField="CatchAllData" ma:web="27361a49-e35b-4048-9c81-33e708129f0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477341b-8014-4f42-af26-daef0625634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be4df23b-91d8-4fab-9ff8-5b3e6cdab9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6E7BBE-346C-4B7F-B994-E4324BD9A290}">
  <ds:schemaRefs>
    <ds:schemaRef ds:uri="http://schemas.microsoft.com/office/2006/metadata/properties"/>
    <ds:schemaRef ds:uri="http://schemas.microsoft.com/office/infopath/2007/PartnerControls"/>
    <ds:schemaRef ds:uri="f477341b-8014-4f42-af26-daef06256344"/>
    <ds:schemaRef ds:uri="27361a49-e35b-4048-9c81-33e708129f0b"/>
  </ds:schemaRefs>
</ds:datastoreItem>
</file>

<file path=customXml/itemProps2.xml><?xml version="1.0" encoding="utf-8"?>
<ds:datastoreItem xmlns:ds="http://schemas.openxmlformats.org/officeDocument/2006/customXml" ds:itemID="{08BD34F5-5754-4AAC-9FF4-2F618AC7253F}">
  <ds:schemaRefs>
    <ds:schemaRef ds:uri="http://schemas.openxmlformats.org/officeDocument/2006/bibliography"/>
  </ds:schemaRefs>
</ds:datastoreItem>
</file>

<file path=customXml/itemProps3.xml><?xml version="1.0" encoding="utf-8"?>
<ds:datastoreItem xmlns:ds="http://schemas.openxmlformats.org/officeDocument/2006/customXml" ds:itemID="{6F6DCDAA-7FC4-42DF-82EF-A9EBA63FE6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61a49-e35b-4048-9c81-33e708129f0b"/>
    <ds:schemaRef ds:uri="f477341b-8014-4f42-af26-daef06256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CEC5DA-5638-419A-9B07-CCE80D937D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477</TotalTime>
  <Pages>19</Pages>
  <Words>14279</Words>
  <Characters>81393</Characters>
  <Application>Microsoft Office Word</Application>
  <DocSecurity>0</DocSecurity>
  <Lines>678</Lines>
  <Paragraphs>190</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95482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LauraMonasterio</dc:creator>
  <cp:lastModifiedBy>Emily Clark</cp:lastModifiedBy>
  <cp:revision>48</cp:revision>
  <cp:lastPrinted>2018-09-06T08:01:00Z</cp:lastPrinted>
  <dcterms:created xsi:type="dcterms:W3CDTF">2024-06-25T08:42:00Z</dcterms:created>
  <dcterms:modified xsi:type="dcterms:W3CDTF">2024-06-27T21:19:00Z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0x010100900605CCC8764542A51D85401519BA58</vt:lpwstr>
  </property>
  <property fmtid="{D5CDD505-2E9C-101B-9397-08002B2CF9AE}" pid="3" name="MediaServiceImageTags">
    <vt:lpwstr/>
  </property>
  <property fmtid="{D5CDD505-2E9C-101B-9397-08002B2CF9AE}" pid="4" name="Mendeley Document_1">
    <vt:lpwstr>True</vt:lpwstr>
  </property>
  <property fmtid="{D5CDD505-2E9C-101B-9397-08002B2CF9AE}" pid="5" name="Mendeley Unique User Id_1">
    <vt:lpwstr>e0dc7213-95c9-3673-80f2-9246407a5625</vt:lpwstr>
  </property>
  <property fmtid="{D5CDD505-2E9C-101B-9397-08002B2CF9AE}" pid="6" name="Mendeley Citation Style_1">
    <vt:lpwstr>http://www.zotero.org/styles/vancouver</vt:lpwstr>
  </property>
  <property fmtid="{D5CDD505-2E9C-101B-9397-08002B2CF9AE}" pid="7" name="Mendeley Recent Style Id 0_1">
    <vt:lpwstr>http://www.zotero.org/styles/american-medical-association</vt:lpwstr>
  </property>
  <property fmtid="{D5CDD505-2E9C-101B-9397-08002B2CF9AE}" pid="8" name="Mendeley Recent Style Name 0_1">
    <vt:lpwstr>American Medical Association 11th edition</vt:lpwstr>
  </property>
  <property fmtid="{D5CDD505-2E9C-101B-9397-08002B2CF9AE}" pid="9" name="Mendeley Recent Style Id 1_1">
    <vt:lpwstr>http://www.zotero.org/styles/american-political-science-association</vt:lpwstr>
  </property>
  <property fmtid="{D5CDD505-2E9C-101B-9397-08002B2CF9AE}" pid="10" name="Mendeley Recent Style Name 1_1">
    <vt:lpwstr>American Political Science Association</vt:lpwstr>
  </property>
  <property fmtid="{D5CDD505-2E9C-101B-9397-08002B2CF9AE}" pid="11" name="Mendeley Recent Style Id 2_1">
    <vt:lpwstr>http://www.zotero.org/styles/apa</vt:lpwstr>
  </property>
  <property fmtid="{D5CDD505-2E9C-101B-9397-08002B2CF9AE}" pid="12" name="Mendeley Recent Style Name 2_1">
    <vt:lpwstr>American Psychological Association 7th edition</vt:lpwstr>
  </property>
  <property fmtid="{D5CDD505-2E9C-101B-9397-08002B2CF9AE}" pid="13" name="Mendeley Recent Style Id 3_1">
    <vt:lpwstr>http://www.zotero.org/styles/american-sociological-association</vt:lpwstr>
  </property>
  <property fmtid="{D5CDD505-2E9C-101B-9397-08002B2CF9AE}" pid="14" name="Mendeley Recent Style Name 3_1">
    <vt:lpwstr>American Sociological Association 6th edition</vt:lpwstr>
  </property>
  <property fmtid="{D5CDD505-2E9C-101B-9397-08002B2CF9AE}" pid="15" name="Mendeley Recent Style Id 4_1">
    <vt:lpwstr>http://www.zotero.org/styles/harvard-cite-them-right</vt:lpwstr>
  </property>
  <property fmtid="{D5CDD505-2E9C-101B-9397-08002B2CF9AE}" pid="16" name="Mendeley Recent Style Name 4_1">
    <vt:lpwstr>Cite Them Right 10th edition - Harvard</vt:lpwstr>
  </property>
  <property fmtid="{D5CDD505-2E9C-101B-9397-08002B2CF9AE}" pid="17" name="Mendeley Recent Style Id 5_1">
    <vt:lpwstr>http://www.zotero.org/styles/frontiers</vt:lpwstr>
  </property>
  <property fmtid="{D5CDD505-2E9C-101B-9397-08002B2CF9AE}" pid="18" name="Mendeley Recent Style Name 5_1">
    <vt:lpwstr>Frontiers journals</vt:lpwstr>
  </property>
  <property fmtid="{D5CDD505-2E9C-101B-9397-08002B2CF9AE}" pid="19" name="Mendeley Recent Style Id 6_1">
    <vt:lpwstr>http://csl.mendeley.com/styles/23509601/frontiers-2-inline-sort-by-year</vt:lpwstr>
  </property>
  <property fmtid="{D5CDD505-2E9C-101B-9397-08002B2CF9AE}" pid="20" name="Mendeley Recent Style Name 6_1">
    <vt:lpwstr>Frontiers journals - Mazdak Salavati</vt:lpwstr>
  </property>
  <property fmtid="{D5CDD505-2E9C-101B-9397-08002B2CF9AE}" pid="21" name="Mendeley Recent Style Id 7_1">
    <vt:lpwstr>http://www.zotero.org/styles/ieee</vt:lpwstr>
  </property>
  <property fmtid="{D5CDD505-2E9C-101B-9397-08002B2CF9AE}" pid="22" name="Mendeley Recent Style Name 7_1">
    <vt:lpwstr>IEEE</vt:lpwstr>
  </property>
  <property fmtid="{D5CDD505-2E9C-101B-9397-08002B2CF9AE}" pid="23" name="Mendeley Recent Style Id 8_1">
    <vt:lpwstr>http://www.zotero.org/styles/modern-humanities-research-association</vt:lpwstr>
  </property>
  <property fmtid="{D5CDD505-2E9C-101B-9397-08002B2CF9AE}" pid="24" name="Mendeley Recent Style Name 8_1">
    <vt:lpwstr>Modern Humanities Research Association 3rd edition (note with bibliography)</vt:lpwstr>
  </property>
  <property fmtid="{D5CDD505-2E9C-101B-9397-08002B2CF9AE}" pid="25" name="Mendeley Recent Style Id 9_1">
    <vt:lpwstr>http://www.zotero.org/styles/vancouver</vt:lpwstr>
  </property>
  <property fmtid="{D5CDD505-2E9C-101B-9397-08002B2CF9AE}" pid="26" name="Mendeley Recent Style Name 9_1">
    <vt:lpwstr>Vancouver</vt:lpwstr>
  </property>
  <property fmtid="{D5CDD505-2E9C-101B-9397-08002B2CF9AE}" pid="27" name="ZOTERO_PREF_1">
    <vt:lpwstr>&lt;data data-version="3" zotero-version="6.0.37"&gt;&lt;session id="YEZZUd3L"/&gt;&lt;style id="http://www.zotero.org/styles/vancouver" locale="en-GB" hasBibliography="1" bibliographyStyleHasBeenSet="1"/&gt;&lt;prefs&gt;&lt;pref name="fieldType" value="Field"/&gt;&lt;pref name="automati</vt:lpwstr>
  </property>
  <property fmtid="{D5CDD505-2E9C-101B-9397-08002B2CF9AE}" pid="28" name="ZOTERO_PREF_2">
    <vt:lpwstr>cJournalAbbreviations" value="true"/&gt;&lt;/prefs&gt;&lt;/data&gt;</vt:lpwstr>
  </property>
</Properties>
</file>